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F9" w:rsidRDefault="001D2EF9" w:rsidP="001D2EF9">
      <w:pPr>
        <w:pStyle w:val="Naslov2"/>
        <w:rPr>
          <w:lang w:eastAsia="sl-SI"/>
        </w:rPr>
      </w:pPr>
      <w:bookmarkStart w:id="0" w:name="_Toc26519381"/>
      <w:bookmarkStart w:id="1" w:name="_GoBack"/>
      <w:bookmarkEnd w:id="1"/>
      <w:r>
        <w:rPr>
          <w:lang w:eastAsia="sl-SI"/>
        </w:rPr>
        <w:t>VI. 2</w:t>
      </w:r>
      <w:r>
        <w:rPr>
          <w:lang w:eastAsia="sl-SI"/>
        </w:rPr>
        <w:tab/>
        <w:t xml:space="preserve">Obrazec: </w:t>
      </w:r>
      <w:r w:rsidRPr="00C31FA2">
        <w:rPr>
          <w:lang w:eastAsia="sl-SI"/>
        </w:rPr>
        <w:t>IZJAVA PRIJAVITELJA</w:t>
      </w:r>
      <w:bookmarkEnd w:id="0"/>
      <w:r>
        <w:rPr>
          <w:lang w:eastAsia="sl-SI"/>
        </w:rPr>
        <w:fldChar w:fldCharType="begin"/>
      </w:r>
      <w:r>
        <w:instrText xml:space="preserve"> TC "</w:instrText>
      </w:r>
      <w:r>
        <w:rPr>
          <w:lang w:eastAsia="sl-SI"/>
        </w:rPr>
        <w:instrText>VI</w:instrText>
      </w:r>
      <w:r w:rsidRPr="001A043F">
        <w:rPr>
          <w:lang w:eastAsia="sl-SI"/>
        </w:rPr>
        <w:instrText>. 2</w:instrText>
      </w:r>
      <w:r w:rsidRPr="001A043F">
        <w:rPr>
          <w:lang w:eastAsia="sl-SI"/>
        </w:rPr>
        <w:tab/>
        <w:instrText>Obrazec: IZJAVA PRIJAVITELJA</w:instrText>
      </w:r>
      <w:r>
        <w:instrText xml:space="preserve">" \f C \l "2" </w:instrText>
      </w:r>
      <w:r>
        <w:rPr>
          <w:lang w:eastAsia="sl-SI"/>
        </w:rPr>
        <w:fldChar w:fldCharType="end"/>
      </w:r>
    </w:p>
    <w:p w:rsidR="001D2EF9" w:rsidRDefault="001D2EF9" w:rsidP="001D2EF9">
      <w:pPr>
        <w:rPr>
          <w:lang w:eastAsia="sl-SI"/>
        </w:rPr>
      </w:pPr>
    </w:p>
    <w:p w:rsidR="001D2EF9" w:rsidRPr="005C5B6C" w:rsidRDefault="001D2EF9" w:rsidP="001D2EF9">
      <w:pPr>
        <w:pBdr>
          <w:bottom w:val="single" w:sz="4" w:space="1" w:color="auto"/>
        </w:pBdr>
        <w:rPr>
          <w:b/>
          <w:lang w:eastAsia="sl-SI"/>
        </w:rPr>
      </w:pPr>
      <w:r w:rsidRPr="005C5B6C">
        <w:rPr>
          <w:b/>
          <w:lang w:eastAsia="sl-SI"/>
        </w:rPr>
        <w:t>Javni razpis »</w:t>
      </w:r>
      <w:r w:rsidRPr="002C21EB">
        <w:rPr>
          <w:b/>
          <w:lang w:eastAsia="sl-SI"/>
        </w:rPr>
        <w:t>Za sofinanciranje promocije slovenske turistične ponudbe na tujih trgih v letu 2020</w:t>
      </w:r>
      <w:r w:rsidRPr="005C5B6C">
        <w:rPr>
          <w:b/>
          <w:lang w:eastAsia="sl-SI"/>
        </w:rPr>
        <w:t>«</w:t>
      </w:r>
    </w:p>
    <w:p w:rsidR="001D2EF9" w:rsidRDefault="001D2EF9" w:rsidP="001D2EF9">
      <w:pPr>
        <w:rPr>
          <w:lang w:eastAsia="sl-SI"/>
        </w:rPr>
      </w:pPr>
    </w:p>
    <w:p w:rsidR="001D2EF9" w:rsidRDefault="001D2EF9" w:rsidP="001D2EF9">
      <w:pPr>
        <w:rPr>
          <w:lang w:eastAsia="sl-SI"/>
        </w:rPr>
      </w:pPr>
      <w:r>
        <w:rPr>
          <w:lang w:eastAsia="sl-SI"/>
        </w:rPr>
        <w:t>Spodaj podpisani zakoniti zastopnik,</w:t>
      </w:r>
    </w:p>
    <w:tbl>
      <w:tblPr>
        <w:tblStyle w:val="Tabelamrea"/>
        <w:tblW w:w="9635" w:type="dxa"/>
        <w:tblLook w:val="04A0" w:firstRow="1" w:lastRow="0" w:firstColumn="1" w:lastColumn="0" w:noHBand="0" w:noVBand="1"/>
      </w:tblPr>
      <w:tblGrid>
        <w:gridCol w:w="3823"/>
        <w:gridCol w:w="5812"/>
      </w:tblGrid>
      <w:tr w:rsidR="001D2EF9" w:rsidTr="005E77A8">
        <w:tc>
          <w:tcPr>
            <w:tcW w:w="3823" w:type="dxa"/>
          </w:tcPr>
          <w:p w:rsidR="001D2EF9" w:rsidRPr="006A7F97" w:rsidRDefault="001D2EF9" w:rsidP="005E77A8">
            <w:pPr>
              <w:rPr>
                <w:b/>
                <w:lang w:eastAsia="sl-SI"/>
              </w:rPr>
            </w:pPr>
            <w:r>
              <w:rPr>
                <w:b/>
                <w:lang w:eastAsia="sl-SI"/>
              </w:rPr>
              <w:t xml:space="preserve">NAZIV PRIJAVITELJA  </w:t>
            </w:r>
          </w:p>
        </w:tc>
        <w:tc>
          <w:tcPr>
            <w:tcW w:w="5812" w:type="dxa"/>
            <w:shd w:val="clear" w:color="auto" w:fill="E2EFD9" w:themeFill="accent6" w:themeFillTint="33"/>
          </w:tcPr>
          <w:p w:rsidR="001D2EF9" w:rsidRPr="007365BA" w:rsidRDefault="001D2EF9" w:rsidP="005E77A8">
            <w:pPr>
              <w:rPr>
                <w:b/>
                <w:lang w:eastAsia="sl-SI"/>
              </w:rPr>
            </w:pPr>
          </w:p>
        </w:tc>
      </w:tr>
    </w:tbl>
    <w:p w:rsidR="001D2EF9" w:rsidRDefault="001D2EF9" w:rsidP="001D2EF9">
      <w:pPr>
        <w:rPr>
          <w:lang w:eastAsia="sl-SI"/>
        </w:rPr>
      </w:pPr>
    </w:p>
    <w:p w:rsidR="001D2EF9" w:rsidRDefault="001D2EF9" w:rsidP="001D2EF9">
      <w:pPr>
        <w:rPr>
          <w:lang w:eastAsia="sl-SI"/>
        </w:rPr>
      </w:pPr>
      <w:r>
        <w:rPr>
          <w:lang w:eastAsia="sl-SI"/>
        </w:rPr>
        <w:t>izjavljam, da:</w:t>
      </w:r>
    </w:p>
    <w:p w:rsidR="001D2EF9" w:rsidRDefault="001D2EF9" w:rsidP="001D2EF9">
      <w:pPr>
        <w:pStyle w:val="Odstavekseznama"/>
        <w:numPr>
          <w:ilvl w:val="0"/>
          <w:numId w:val="2"/>
        </w:numPr>
        <w:rPr>
          <w:lang w:eastAsia="sl-SI"/>
        </w:rPr>
      </w:pPr>
      <w:r>
        <w:rPr>
          <w:lang w:eastAsia="sl-SI"/>
        </w:rPr>
        <w:t>se strinjamo in sprejemamo vse pogoje, ki so navedeni v razpisu in razpisni dokumentaciji;</w:t>
      </w:r>
    </w:p>
    <w:p w:rsidR="001D2EF9" w:rsidRDefault="001D2EF9" w:rsidP="001D2EF9">
      <w:pPr>
        <w:pStyle w:val="Odstavekseznama"/>
        <w:numPr>
          <w:ilvl w:val="0"/>
          <w:numId w:val="2"/>
        </w:numPr>
        <w:rPr>
          <w:lang w:eastAsia="sl-SI"/>
        </w:rPr>
      </w:pPr>
      <w:r>
        <w:rPr>
          <w:lang w:eastAsia="sl-SI"/>
        </w:rPr>
        <w:t>vse kopije, ki so priložene vlogi, ustrezajo izvirnikom;</w:t>
      </w:r>
    </w:p>
    <w:p w:rsidR="001D2EF9" w:rsidRDefault="001D2EF9" w:rsidP="001D2EF9">
      <w:pPr>
        <w:pStyle w:val="Odstavekseznama"/>
        <w:numPr>
          <w:ilvl w:val="0"/>
          <w:numId w:val="2"/>
        </w:numPr>
        <w:rPr>
          <w:lang w:eastAsia="sl-SI"/>
        </w:rPr>
      </w:pPr>
      <w:r>
        <w:rPr>
          <w:lang w:eastAsia="sl-SI"/>
        </w:rPr>
        <w:t>so vse navedbe, ki so podane v tej vlogi, resnične in ustrezajo dejanskemu stanju;</w:t>
      </w:r>
    </w:p>
    <w:p w:rsidR="001D2EF9" w:rsidRDefault="001D2EF9" w:rsidP="001D2EF9">
      <w:pPr>
        <w:pStyle w:val="Odstavekseznama"/>
        <w:numPr>
          <w:ilvl w:val="0"/>
          <w:numId w:val="2"/>
        </w:numPr>
        <w:rPr>
          <w:lang w:eastAsia="sl-SI"/>
        </w:rPr>
      </w:pPr>
      <w:r>
        <w:rPr>
          <w:lang w:eastAsia="sl-SI"/>
        </w:rPr>
        <w:t xml:space="preserve">se kot </w:t>
      </w:r>
      <w:proofErr w:type="spellStart"/>
      <w:r>
        <w:rPr>
          <w:lang w:eastAsia="sl-SI"/>
        </w:rPr>
        <w:t>mikro</w:t>
      </w:r>
      <w:proofErr w:type="spellEnd"/>
      <w:r>
        <w:rPr>
          <w:lang w:eastAsia="sl-SI"/>
        </w:rPr>
        <w:t>, malo, srednje veliko ali veliko podjetje kot pravna  ali fizična  oseba ukvarjamo z gospodarsko dejavnostjo v Republiki Sloveniji;</w:t>
      </w:r>
    </w:p>
    <w:p w:rsidR="001D2EF9" w:rsidRDefault="001D2EF9" w:rsidP="001D2EF9">
      <w:pPr>
        <w:pStyle w:val="Odstavekseznama"/>
        <w:numPr>
          <w:ilvl w:val="0"/>
          <w:numId w:val="2"/>
        </w:numPr>
        <w:rPr>
          <w:lang w:eastAsia="sl-SI"/>
        </w:rPr>
      </w:pPr>
      <w:r w:rsidRPr="00156AB4">
        <w:rPr>
          <w:lang w:eastAsia="sl-SI"/>
        </w:rPr>
        <w:t>izvaja</w:t>
      </w:r>
      <w:r>
        <w:rPr>
          <w:lang w:eastAsia="sl-SI"/>
        </w:rPr>
        <w:t xml:space="preserve"> podjetje</w:t>
      </w:r>
      <w:r w:rsidRPr="00156AB4">
        <w:rPr>
          <w:lang w:eastAsia="sl-SI"/>
        </w:rPr>
        <w:t xml:space="preserve"> kot glavno poslovno dejavnost storitve prodaje turističnih produktov na območju Republike Slovenije, ki so opredeljeni v Strategiji trajnostnega razvoja slovenskega turizma 2017 -2021</w:t>
      </w:r>
      <w:r>
        <w:rPr>
          <w:lang w:eastAsia="sl-SI"/>
        </w:rPr>
        <w:t>.</w:t>
      </w:r>
    </w:p>
    <w:p w:rsidR="001D2EF9" w:rsidRDefault="001D2EF9" w:rsidP="001D2EF9">
      <w:pPr>
        <w:pStyle w:val="Odstavekseznama"/>
        <w:numPr>
          <w:ilvl w:val="0"/>
          <w:numId w:val="2"/>
        </w:numPr>
        <w:rPr>
          <w:lang w:eastAsia="sl-SI"/>
        </w:rPr>
      </w:pPr>
      <w:r>
        <w:rPr>
          <w:lang w:eastAsia="sl-SI"/>
        </w:rPr>
        <w:t xml:space="preserve">je bilo podjetje ustanovljeno vsaj dve leti pred dnevom oddaje vloge na ta javni razpis in aktivno delovalo vsaj zadnji dve (2) poslovni leti. Pri tem se upošteva datum vpisa v sodni register. </w:t>
      </w:r>
    </w:p>
    <w:p w:rsidR="001D2EF9" w:rsidRDefault="001D2EF9" w:rsidP="001D2EF9">
      <w:pPr>
        <w:pStyle w:val="Odstavekseznama"/>
        <w:numPr>
          <w:ilvl w:val="0"/>
          <w:numId w:val="2"/>
        </w:numPr>
        <w:rPr>
          <w:lang w:eastAsia="sl-SI"/>
        </w:rPr>
      </w:pPr>
      <w:r>
        <w:rPr>
          <w:lang w:eastAsia="sl-SI"/>
        </w:rPr>
        <w:t xml:space="preserve"> je imelo podjetje vsa, za zadnji dve  (2) zaključeni letni poslovni poročili: 2017 in 2018, od dneva oddaje vloge, pozitiven čisti poslovni izid oz.  eno zaključeno letno poslovno poročilo v primeru registracije podjetja od 1.1.2018 do 20.1.2018. Pri tem se upošteva podatke oddane v  letnem poslovnem poročilu na AJPES, razen v primeru nekaterih </w:t>
      </w:r>
      <w:proofErr w:type="spellStart"/>
      <w:r>
        <w:rPr>
          <w:lang w:eastAsia="sl-SI"/>
        </w:rPr>
        <w:t>s.p</w:t>
      </w:r>
      <w:proofErr w:type="spellEnd"/>
      <w:r>
        <w:rPr>
          <w:lang w:eastAsia="sl-SI"/>
        </w:rPr>
        <w:t>.</w:t>
      </w:r>
      <w:r>
        <w:rPr>
          <w:rStyle w:val="Sprotnaopomba-sklic"/>
          <w:lang w:eastAsia="sl-SI"/>
        </w:rPr>
        <w:footnoteReference w:id="1"/>
      </w:r>
      <w:r>
        <w:rPr>
          <w:lang w:eastAsia="sl-SI"/>
        </w:rPr>
        <w:t xml:space="preserve">. </w:t>
      </w:r>
    </w:p>
    <w:p w:rsidR="001D2EF9" w:rsidRDefault="001D2EF9" w:rsidP="001D2EF9">
      <w:pPr>
        <w:pStyle w:val="Odstavekseznama"/>
        <w:numPr>
          <w:ilvl w:val="0"/>
          <w:numId w:val="2"/>
        </w:numPr>
        <w:rPr>
          <w:lang w:eastAsia="sl-SI"/>
        </w:rPr>
      </w:pPr>
      <w:r>
        <w:rPr>
          <w:lang w:eastAsia="sl-SI"/>
        </w:rPr>
        <w:t xml:space="preserve">je podjetje po zadnjih dveh letnih poslovnih poročilih: 2017 in 2018 zaposlovalo vsaj dva (2) zaposlenca, kar je razvidno iz Poslovnega izkaza uspeha (Povprečno število zaposlencev na podlagi delovnih ur v obračunskem obdobju) oz. izjavljamo sami, in jih zaposluje tudi na dan oddaje vloge;  </w:t>
      </w:r>
    </w:p>
    <w:p w:rsidR="001D2EF9" w:rsidRDefault="001D2EF9" w:rsidP="001D2EF9">
      <w:pPr>
        <w:pStyle w:val="Odstavekseznama"/>
        <w:numPr>
          <w:ilvl w:val="0"/>
          <w:numId w:val="2"/>
        </w:numPr>
        <w:rPr>
          <w:lang w:eastAsia="sl-SI"/>
        </w:rPr>
      </w:pPr>
      <w:r>
        <w:rPr>
          <w:lang w:eastAsia="sl-SI"/>
        </w:rPr>
        <w:t>prijavitelj nima neporavnanih zapadlih finančnih obveznosti iz naslova obveznih dajatev in drugih denarnih nedavčnih obveznosti v skladu z zakonom, ki ureja finančno upravo, ki jih pobira davčni organ (v višini 50 evrov ali več na dan oddaje vloge);</w:t>
      </w:r>
    </w:p>
    <w:p w:rsidR="001D2EF9" w:rsidRDefault="001D2EF9" w:rsidP="001D2EF9">
      <w:pPr>
        <w:pStyle w:val="Odstavekseznama"/>
        <w:numPr>
          <w:ilvl w:val="0"/>
          <w:numId w:val="2"/>
        </w:numPr>
        <w:rPr>
          <w:lang w:eastAsia="sl-SI"/>
        </w:rPr>
      </w:pPr>
      <w:r>
        <w:rPr>
          <w:lang w:eastAsia="sl-SI"/>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Pr>
          <w:lang w:eastAsia="sl-SI"/>
        </w:rPr>
        <w:t>popr</w:t>
      </w:r>
      <w:proofErr w:type="spellEnd"/>
      <w:r>
        <w:rPr>
          <w:lang w:eastAsia="sl-SI"/>
        </w:rPr>
        <w:t>., 27/16, 31/16-odl. US, 63/16 – ZD-C in 54/18-odl.US);</w:t>
      </w:r>
    </w:p>
    <w:p w:rsidR="001D2EF9" w:rsidRDefault="001D2EF9" w:rsidP="001D2EF9">
      <w:pPr>
        <w:pStyle w:val="Odstavekseznama"/>
        <w:numPr>
          <w:ilvl w:val="0"/>
          <w:numId w:val="2"/>
        </w:numPr>
        <w:rPr>
          <w:lang w:eastAsia="sl-SI"/>
        </w:rPr>
      </w:pPr>
      <w:r>
        <w:rPr>
          <w:lang w:eastAsia="sl-SI"/>
        </w:rPr>
        <w:t>glede podjetja ni podana prepoved poslovanja v razmerju do izvajalca tega razpisa v obsegu, kot izhaja iz 35. člena Zakona o integriteti in preprečevanju korupcije (Uradni list RS, št. 96/11-uradno prečiščeno besedilo, 81/2013 Odl.US);</w:t>
      </w:r>
    </w:p>
    <w:p w:rsidR="001D2EF9" w:rsidRDefault="001D2EF9" w:rsidP="001D2EF9">
      <w:pPr>
        <w:pStyle w:val="Odstavekseznama"/>
        <w:numPr>
          <w:ilvl w:val="0"/>
          <w:numId w:val="2"/>
        </w:numPr>
        <w:rPr>
          <w:lang w:eastAsia="sl-SI"/>
        </w:rPr>
      </w:pPr>
      <w:r>
        <w:rPr>
          <w:lang w:eastAsia="sl-SI"/>
        </w:rPr>
        <w:t>dejanski lastnik(i) podjetja v skladu z 19. členom Zakona o preprečevanju pranja denarja in financiranja terorizma (Uradni list RS, št.68/16) ni(so) vpleten(i) v postopke pranja denarja in financiranja terorizma;</w:t>
      </w:r>
    </w:p>
    <w:p w:rsidR="001D2EF9" w:rsidRDefault="001D2EF9" w:rsidP="001D2EF9">
      <w:pPr>
        <w:pStyle w:val="Odstavekseznama"/>
        <w:numPr>
          <w:ilvl w:val="0"/>
          <w:numId w:val="2"/>
        </w:numPr>
        <w:rPr>
          <w:lang w:eastAsia="sl-SI"/>
        </w:rPr>
      </w:pPr>
      <w:r>
        <w:rPr>
          <w:lang w:eastAsia="sl-SI"/>
        </w:rPr>
        <w:lastRenderedPageBreak/>
        <w:t>podjetje nima registrirane glavne dejavnosti in tudi vsebina sofinancirane operacije se ne nanaša na sledeče izključene sektorje:</w:t>
      </w:r>
    </w:p>
    <w:p w:rsidR="001D2EF9" w:rsidRDefault="001D2EF9" w:rsidP="001D2EF9">
      <w:pPr>
        <w:pStyle w:val="Odstavekseznama"/>
        <w:numPr>
          <w:ilvl w:val="0"/>
          <w:numId w:val="1"/>
        </w:numPr>
        <w:ind w:left="2268" w:hanging="567"/>
        <w:rPr>
          <w:lang w:eastAsia="sl-SI"/>
        </w:rPr>
      </w:pPr>
      <w:r>
        <w:rPr>
          <w:lang w:eastAsia="sl-SI"/>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rsidR="001D2EF9" w:rsidRDefault="001D2EF9" w:rsidP="001D2EF9">
      <w:pPr>
        <w:pStyle w:val="Odstavekseznama"/>
        <w:numPr>
          <w:ilvl w:val="0"/>
          <w:numId w:val="1"/>
        </w:numPr>
        <w:ind w:left="2268" w:hanging="567"/>
        <w:rPr>
          <w:lang w:eastAsia="sl-SI"/>
        </w:rPr>
      </w:pPr>
      <w:r>
        <w:rPr>
          <w:lang w:eastAsia="sl-SI"/>
        </w:rPr>
        <w:t>primarne proizvodnje kmetijskih proizvodov;</w:t>
      </w:r>
    </w:p>
    <w:p w:rsidR="001D2EF9" w:rsidRDefault="001D2EF9" w:rsidP="001D2EF9">
      <w:pPr>
        <w:pStyle w:val="Odstavekseznama"/>
        <w:numPr>
          <w:ilvl w:val="0"/>
          <w:numId w:val="1"/>
        </w:numPr>
        <w:ind w:left="2268" w:hanging="567"/>
        <w:rPr>
          <w:lang w:eastAsia="sl-SI"/>
        </w:rPr>
      </w:pPr>
      <w:r>
        <w:rPr>
          <w:lang w:eastAsia="sl-SI"/>
        </w:rPr>
        <w:t>predelave in trženja kmetijskih proizvodov, v primerih:</w:t>
      </w:r>
    </w:p>
    <w:p w:rsidR="001D2EF9" w:rsidRDefault="001D2EF9" w:rsidP="001D2EF9">
      <w:pPr>
        <w:pStyle w:val="Odstavekseznama"/>
        <w:numPr>
          <w:ilvl w:val="0"/>
          <w:numId w:val="1"/>
        </w:numPr>
        <w:ind w:left="2268" w:hanging="567"/>
        <w:rPr>
          <w:lang w:eastAsia="sl-SI"/>
        </w:rPr>
      </w:pPr>
      <w:r>
        <w:rPr>
          <w:lang w:eastAsia="sl-SI"/>
        </w:rPr>
        <w:t>kadar je znesek pomoči, določen na podlagi cene oziroma količine takih proizvodov, ki so kupljeni od primarnih proizvajalcev, ali jih je na trg dalo zadevno podjetje;</w:t>
      </w:r>
    </w:p>
    <w:p w:rsidR="001D2EF9" w:rsidRDefault="001D2EF9" w:rsidP="001D2EF9">
      <w:pPr>
        <w:pStyle w:val="Odstavekseznama"/>
        <w:numPr>
          <w:ilvl w:val="0"/>
          <w:numId w:val="1"/>
        </w:numPr>
        <w:ind w:left="2268" w:hanging="567"/>
        <w:rPr>
          <w:lang w:eastAsia="sl-SI"/>
        </w:rPr>
      </w:pPr>
      <w:r>
        <w:rPr>
          <w:lang w:eastAsia="sl-SI"/>
        </w:rPr>
        <w:t>kadar je pomoč pogojena s tem, da se delno ali v celoti prenese na primarne proizvajalce,</w:t>
      </w:r>
    </w:p>
    <w:p w:rsidR="001D2EF9" w:rsidRDefault="001D2EF9" w:rsidP="001D2EF9">
      <w:pPr>
        <w:pStyle w:val="Odstavekseznama"/>
        <w:numPr>
          <w:ilvl w:val="0"/>
          <w:numId w:val="1"/>
        </w:numPr>
        <w:ind w:left="2268" w:hanging="567"/>
        <w:rPr>
          <w:lang w:eastAsia="sl-SI"/>
        </w:rPr>
      </w:pPr>
      <w:r>
        <w:rPr>
          <w:lang w:eastAsia="sl-SI"/>
        </w:rPr>
        <w:t>sektor premogovništva za lažje zaprtje nekonkurenčnih premogovnikov, kakor jo zajema Sklep Sveta št. 2010/787/EU z dne 10. decembra 2010 (UL L 336, 21. 12. 2010, str. 24);</w:t>
      </w:r>
    </w:p>
    <w:p w:rsidR="001D2EF9" w:rsidRPr="000220C9" w:rsidRDefault="001D2EF9" w:rsidP="001D2EF9">
      <w:pPr>
        <w:pStyle w:val="Odstavekseznama"/>
        <w:numPr>
          <w:ilvl w:val="0"/>
          <w:numId w:val="2"/>
        </w:numPr>
        <w:rPr>
          <w:lang w:eastAsia="sl-SI"/>
        </w:rPr>
      </w:pPr>
      <w:r w:rsidRPr="000220C9">
        <w:rPr>
          <w:lang w:eastAsia="sl-SI"/>
        </w:rPr>
        <w:t>prijavitelj ni v postopku vračanja neupravičeno prejete državne pomoči, na podlagi odločbe Evropske Komisije, ki je prejeto državno pomoč razglasila za nezakonito in nezdružljivo s skupnim trgom EU;</w:t>
      </w:r>
    </w:p>
    <w:p w:rsidR="001D2EF9" w:rsidRDefault="001D2EF9" w:rsidP="001D2EF9">
      <w:pPr>
        <w:pStyle w:val="Odstavekseznama"/>
        <w:numPr>
          <w:ilvl w:val="0"/>
          <w:numId w:val="2"/>
        </w:numPr>
        <w:rPr>
          <w:lang w:eastAsia="sl-SI"/>
        </w:rPr>
      </w:pPr>
      <w:r>
        <w:rPr>
          <w:lang w:eastAsia="sl-SI"/>
        </w:rPr>
        <w:t>prijavitelj ne prejema ali ni v postopku pridobivanja državnih pomoči za reševanje in prestrukturiranje podjetij v težavah po Zakonu o pomoči za reševanje in prestrukturiranje gospodarskih družb v težavah  (Uradni list RS, 5/17) in niso podjetja v težavah skladno z 18. točko 2. člena Uredbe Komisije (EU) št. 651/2014;</w:t>
      </w:r>
    </w:p>
    <w:p w:rsidR="001D2EF9" w:rsidRDefault="001D2EF9" w:rsidP="001D2EF9">
      <w:pPr>
        <w:pStyle w:val="Odstavekseznama"/>
        <w:numPr>
          <w:ilvl w:val="0"/>
          <w:numId w:val="2"/>
        </w:numPr>
        <w:rPr>
          <w:lang w:eastAsia="sl-SI"/>
        </w:rPr>
      </w:pPr>
      <w:r>
        <w:rPr>
          <w:lang w:eastAsia="sl-SI"/>
        </w:rPr>
        <w:t>prijavitelj za iste že povrnjene upravičene stroške in aktivnosti, ki so predmet sofinanciranja v tem javnem razpisu, niso in ne bodo pridobila sredstev iz drugih javnih virov (</w:t>
      </w:r>
      <w:r>
        <w:t>sredstev države, občine ali Evropske Unije</w:t>
      </w:r>
      <w:r>
        <w:rPr>
          <w:lang w:eastAsia="sl-SI"/>
        </w:rPr>
        <w:t xml:space="preserve">), skladno s prepovedjo dvojnega sofinanciranja iz javnih sredstev; </w:t>
      </w:r>
    </w:p>
    <w:p w:rsidR="001D2EF9" w:rsidRDefault="001D2EF9" w:rsidP="001D2EF9">
      <w:pPr>
        <w:pStyle w:val="Odstavekseznama"/>
        <w:numPr>
          <w:ilvl w:val="0"/>
          <w:numId w:val="2"/>
        </w:numPr>
        <w:rPr>
          <w:lang w:eastAsia="sl-SI"/>
        </w:rPr>
      </w:pPr>
      <w:r>
        <w:rPr>
          <w:lang w:eastAsia="sl-SI"/>
        </w:rPr>
        <w:t>bo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»»Program izvajanja finančnih spodbud MSP« (</w:t>
      </w:r>
      <w:r w:rsidRPr="000220C9">
        <w:rPr>
          <w:lang w:eastAsia="sl-SI"/>
        </w:rPr>
        <w:t>št. priglasitve: M001-2399245-2015/I)</w:t>
      </w:r>
      <w:r>
        <w:rPr>
          <w:lang w:eastAsia="sl-SI"/>
        </w:rPr>
        <w:t>;</w:t>
      </w:r>
    </w:p>
    <w:p w:rsidR="001D2EF9" w:rsidRDefault="001D2EF9" w:rsidP="001D2EF9">
      <w:pPr>
        <w:pStyle w:val="Odstavekseznama"/>
        <w:numPr>
          <w:ilvl w:val="0"/>
          <w:numId w:val="2"/>
        </w:numPr>
        <w:rPr>
          <w:lang w:eastAsia="sl-SI"/>
        </w:rPr>
      </w:pPr>
      <w:r>
        <w:rPr>
          <w:lang w:eastAsia="sl-SI"/>
        </w:rPr>
        <w:t xml:space="preserve">podjetje ne krši pravila omejitve višine pomoči, kar pomeni, da skupna pomoč dodeljena enotnemu podjetju na podlagi pravila de </w:t>
      </w:r>
      <w:proofErr w:type="spellStart"/>
      <w:r>
        <w:rPr>
          <w:lang w:eastAsia="sl-SI"/>
        </w:rPr>
        <w:t>minimis</w:t>
      </w:r>
      <w:proofErr w:type="spellEnd"/>
      <w:r>
        <w:rPr>
          <w:lang w:eastAsia="sl-SI"/>
        </w:rPr>
        <w:t xml:space="preserve">, ne sme presegati 200.000,00 evrov v obdobju zadnjih treh proračunskih let, ne glede na obliko ali namen pomoči ter ne glede na to, ali se pomoč dodeli iz sredstev države, občine ali Unije (v primeru podjetij, ki delujejo v komercialnem cestnem tovornem prevozu, znaša zgornja dovoljena meja pomoči 100.000,00 evrov) (pri skupnem znesku pomoči de </w:t>
      </w:r>
      <w:proofErr w:type="spellStart"/>
      <w:r>
        <w:rPr>
          <w:lang w:eastAsia="sl-SI"/>
        </w:rPr>
        <w:t>minimis</w:t>
      </w:r>
      <w:proofErr w:type="spellEnd"/>
      <w:r>
        <w:rPr>
          <w:lang w:eastAsia="sl-SI"/>
        </w:rPr>
        <w:t xml:space="preserve"> se upošteva tudi predvideno sofinanciranje po tem razpisu);</w:t>
      </w:r>
    </w:p>
    <w:p w:rsidR="001D2EF9" w:rsidRDefault="001D2EF9" w:rsidP="001D2EF9">
      <w:pPr>
        <w:pStyle w:val="Odstavekseznama"/>
        <w:numPr>
          <w:ilvl w:val="0"/>
          <w:numId w:val="2"/>
        </w:numPr>
        <w:rPr>
          <w:lang w:eastAsia="sl-SI"/>
        </w:rPr>
      </w:pPr>
      <w:r>
        <w:rPr>
          <w:lang w:eastAsia="sl-SI"/>
        </w:rPr>
        <w:t>vloga prijavitelja je skladna z namenom, ciljem in s predmetom javnega razpisa;</w:t>
      </w:r>
    </w:p>
    <w:p w:rsidR="001D2EF9" w:rsidRDefault="001D2EF9" w:rsidP="001D2EF9">
      <w:pPr>
        <w:pStyle w:val="Odstavekseznama"/>
        <w:numPr>
          <w:ilvl w:val="0"/>
          <w:numId w:val="2"/>
        </w:numPr>
        <w:rPr>
          <w:lang w:eastAsia="sl-SI"/>
        </w:rPr>
      </w:pPr>
      <w:r>
        <w:rPr>
          <w:lang w:eastAsia="sl-SI"/>
        </w:rPr>
        <w:t>projekt iz vloge prijavitelja se ne bo pričel izvajati pred datumom oddaje vloge na javni razpis;</w:t>
      </w:r>
    </w:p>
    <w:p w:rsidR="001D2EF9" w:rsidRDefault="001D2EF9" w:rsidP="001D2EF9">
      <w:pPr>
        <w:pStyle w:val="Odstavekseznama"/>
        <w:numPr>
          <w:ilvl w:val="0"/>
          <w:numId w:val="2"/>
        </w:numPr>
        <w:rPr>
          <w:lang w:eastAsia="sl-SI"/>
        </w:rPr>
      </w:pPr>
      <w:r>
        <w:rPr>
          <w:lang w:eastAsia="sl-SI"/>
        </w:rPr>
        <w:t xml:space="preserve">prijavitelj bo pri vseh načinih distribucije promocijskih sporočil (tisk, digitalni mediji, radio, TV) sofinanciranih preko tega javnega razpisa in skladno s pogoji tega javnega razpisa, obvezno vključil logotip I </w:t>
      </w:r>
      <w:proofErr w:type="spellStart"/>
      <w:r>
        <w:rPr>
          <w:lang w:eastAsia="sl-SI"/>
        </w:rPr>
        <w:t>feel</w:t>
      </w:r>
      <w:proofErr w:type="spellEnd"/>
      <w:r>
        <w:rPr>
          <w:lang w:eastAsia="sl-SI"/>
        </w:rPr>
        <w:t xml:space="preserve"> </w:t>
      </w:r>
      <w:proofErr w:type="spellStart"/>
      <w:r>
        <w:rPr>
          <w:lang w:eastAsia="sl-SI"/>
        </w:rPr>
        <w:t>Slovenia</w:t>
      </w:r>
      <w:proofErr w:type="spellEnd"/>
      <w:r>
        <w:rPr>
          <w:lang w:eastAsia="sl-SI"/>
        </w:rPr>
        <w:t xml:space="preserve"> in zaželeno navedbo </w:t>
      </w:r>
      <w:proofErr w:type="spellStart"/>
      <w:r>
        <w:rPr>
          <w:lang w:eastAsia="sl-SI"/>
        </w:rPr>
        <w:t>ključnika</w:t>
      </w:r>
      <w:proofErr w:type="spellEnd"/>
      <w:r>
        <w:rPr>
          <w:lang w:eastAsia="sl-SI"/>
        </w:rPr>
        <w:t xml:space="preserve"> #</w:t>
      </w:r>
      <w:proofErr w:type="spellStart"/>
      <w:r>
        <w:rPr>
          <w:lang w:eastAsia="sl-SI"/>
        </w:rPr>
        <w:t>ifeelsLOVEnia</w:t>
      </w:r>
      <w:proofErr w:type="spellEnd"/>
      <w:r>
        <w:rPr>
          <w:lang w:eastAsia="sl-SI"/>
        </w:rPr>
        <w:t xml:space="preserve"> ter upošteval Navodila STO glede uporabe celostne grafične podobe, kot navedeno v Prilogi 1 tega javnega razpisa; </w:t>
      </w:r>
    </w:p>
    <w:p w:rsidR="001D2EF9" w:rsidRDefault="001D2EF9" w:rsidP="001D2EF9">
      <w:pPr>
        <w:pStyle w:val="Odstavekseznama"/>
        <w:numPr>
          <w:ilvl w:val="0"/>
          <w:numId w:val="2"/>
        </w:numPr>
        <w:rPr>
          <w:lang w:eastAsia="sl-SI"/>
        </w:rPr>
      </w:pPr>
      <w:r>
        <w:rPr>
          <w:lang w:eastAsia="sl-SI"/>
        </w:rPr>
        <w:t>prijavitelj bo v okviru projekta izvajal aktivnosti skladne z obstoječimi strateškimi poslovnimi dokumenti prijavitelja (poslovni načrt in načrt trženja);</w:t>
      </w:r>
    </w:p>
    <w:p w:rsidR="001D2EF9" w:rsidRDefault="001D2EF9" w:rsidP="001D2EF9">
      <w:pPr>
        <w:pStyle w:val="Odstavekseznama"/>
        <w:numPr>
          <w:ilvl w:val="0"/>
          <w:numId w:val="2"/>
        </w:numPr>
        <w:rPr>
          <w:lang w:eastAsia="sl-SI"/>
        </w:rPr>
      </w:pPr>
      <w:r>
        <w:rPr>
          <w:lang w:eastAsia="sl-SI"/>
        </w:rPr>
        <w:lastRenderedPageBreak/>
        <w:t>sredstva za zaprtje finančne konstrukcije operacije so v celoti zagotovljena na strani prijavitelja (pri tem se poleg lastnih sredstev upoštevajo tudi pričakovana sredstva iz naslova tega javnega razpisa ter morebitna druga premostitvena sredstva za del pričakovanih sredstev iz naslova tega javnega razpisa do povrnitve stroškov);</w:t>
      </w:r>
    </w:p>
    <w:p w:rsidR="001D2EF9" w:rsidRDefault="001D2EF9" w:rsidP="001D2EF9">
      <w:pPr>
        <w:pStyle w:val="Odstavekseznama"/>
        <w:numPr>
          <w:ilvl w:val="0"/>
          <w:numId w:val="2"/>
        </w:numPr>
        <w:rPr>
          <w:lang w:eastAsia="sl-SI"/>
        </w:rPr>
      </w:pPr>
      <w:r>
        <w:rPr>
          <w:lang w:eastAsia="sl-SI"/>
        </w:rPr>
        <w:t>bomo za potrebe tega projekta vodili ločeno računovodstvo ali ustrezno računovodsko  kodo:</w:t>
      </w:r>
    </w:p>
    <w:tbl>
      <w:tblPr>
        <w:tblStyle w:val="Tabelamrea"/>
        <w:tblW w:w="0" w:type="auto"/>
        <w:tblInd w:w="1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5969"/>
      </w:tblGrid>
      <w:tr w:rsidR="001D2EF9" w:rsidTr="005E77A8">
        <w:trPr>
          <w:trHeight w:val="453"/>
        </w:trPr>
        <w:tc>
          <w:tcPr>
            <w:tcW w:w="5969" w:type="dxa"/>
            <w:shd w:val="clear" w:color="auto" w:fill="E2EFD9" w:themeFill="accent6" w:themeFillTint="33"/>
          </w:tcPr>
          <w:p w:rsidR="001D2EF9" w:rsidRDefault="001D2EF9" w:rsidP="005E77A8">
            <w:pPr>
              <w:pStyle w:val="Odstavekseznama"/>
              <w:ind w:left="0"/>
              <w:rPr>
                <w:lang w:eastAsia="sl-SI"/>
              </w:rPr>
            </w:pPr>
          </w:p>
        </w:tc>
      </w:tr>
    </w:tbl>
    <w:p w:rsidR="001D2EF9" w:rsidRDefault="001D2EF9" w:rsidP="001D2EF9">
      <w:pPr>
        <w:pStyle w:val="Odstavekseznama"/>
        <w:ind w:left="1571"/>
        <w:rPr>
          <w:lang w:eastAsia="sl-SI"/>
        </w:rPr>
      </w:pPr>
      <w:r>
        <w:rPr>
          <w:lang w:eastAsia="sl-SI"/>
        </w:rPr>
        <w:t>za vse transakcije v zvezi s tem projektom;</w:t>
      </w:r>
    </w:p>
    <w:p w:rsidR="001D2EF9" w:rsidRDefault="001D2EF9" w:rsidP="001D2EF9">
      <w:pPr>
        <w:pStyle w:val="Odstavekseznama"/>
        <w:numPr>
          <w:ilvl w:val="0"/>
          <w:numId w:val="2"/>
        </w:numPr>
        <w:rPr>
          <w:lang w:eastAsia="sl-SI"/>
        </w:rPr>
      </w:pPr>
      <w:r>
        <w:rPr>
          <w:lang w:eastAsia="sl-SI"/>
        </w:rPr>
        <w:t>seznanjeni smo z vsebino vseh pravnih podlag, ki so navedene kot podlage javnega razpisa in bomo redno spremljali in spoštovali tudi njihove morebitne spremembe.</w:t>
      </w: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p w:rsidR="001D2EF9" w:rsidRDefault="001D2EF9" w:rsidP="001D2EF9">
      <w:pPr>
        <w:rPr>
          <w:lang w:eastAsia="sl-SI"/>
        </w:rPr>
      </w:pPr>
    </w:p>
    <w:tbl>
      <w:tblPr>
        <w:tblStyle w:val="Tabelamre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818"/>
        <w:gridCol w:w="3544"/>
      </w:tblGrid>
      <w:tr w:rsidR="001D2EF9" w:rsidTr="005E77A8">
        <w:tc>
          <w:tcPr>
            <w:tcW w:w="3131" w:type="dxa"/>
            <w:tcBorders>
              <w:top w:val="single" w:sz="4" w:space="0" w:color="auto"/>
              <w:left w:val="single" w:sz="4" w:space="0" w:color="auto"/>
              <w:right w:val="single" w:sz="4" w:space="0" w:color="auto"/>
            </w:tcBorders>
          </w:tcPr>
          <w:p w:rsidR="001D2EF9" w:rsidRDefault="001D2EF9" w:rsidP="005E77A8">
            <w:pPr>
              <w:rPr>
                <w:lang w:eastAsia="sl-SI"/>
              </w:rPr>
            </w:pPr>
            <w:r>
              <w:rPr>
                <w:lang w:eastAsia="sl-SI"/>
              </w:rPr>
              <w:t>Kraj, datum:</w:t>
            </w:r>
          </w:p>
        </w:tc>
        <w:tc>
          <w:tcPr>
            <w:tcW w:w="2818" w:type="dxa"/>
            <w:tcBorders>
              <w:top w:val="single" w:sz="4" w:space="0" w:color="auto"/>
              <w:left w:val="single" w:sz="4" w:space="0" w:color="auto"/>
              <w:right w:val="single" w:sz="4" w:space="0" w:color="auto"/>
            </w:tcBorders>
          </w:tcPr>
          <w:p w:rsidR="001D2EF9" w:rsidRDefault="001D2EF9" w:rsidP="005E77A8">
            <w:pPr>
              <w:jc w:val="center"/>
              <w:rPr>
                <w:lang w:eastAsia="sl-SI"/>
              </w:rPr>
            </w:pPr>
            <w:r>
              <w:rPr>
                <w:lang w:eastAsia="sl-SI"/>
              </w:rPr>
              <w:t>Žig:</w:t>
            </w:r>
          </w:p>
        </w:tc>
        <w:tc>
          <w:tcPr>
            <w:tcW w:w="3544" w:type="dxa"/>
            <w:tcBorders>
              <w:top w:val="single" w:sz="4" w:space="0" w:color="auto"/>
              <w:left w:val="single" w:sz="4" w:space="0" w:color="auto"/>
              <w:right w:val="single" w:sz="4" w:space="0" w:color="auto"/>
            </w:tcBorders>
          </w:tcPr>
          <w:p w:rsidR="001D2EF9" w:rsidRDefault="001D2EF9" w:rsidP="005E77A8">
            <w:pPr>
              <w:jc w:val="center"/>
              <w:rPr>
                <w:lang w:eastAsia="sl-SI"/>
              </w:rPr>
            </w:pPr>
            <w:r>
              <w:rPr>
                <w:lang w:eastAsia="sl-SI"/>
              </w:rPr>
              <w:t>Ime in priimek zakonitega zastopnika:</w:t>
            </w:r>
          </w:p>
        </w:tc>
      </w:tr>
      <w:tr w:rsidR="001D2EF9" w:rsidTr="005E77A8">
        <w:tc>
          <w:tcPr>
            <w:tcW w:w="3131" w:type="dxa"/>
            <w:tcBorders>
              <w:left w:val="single" w:sz="4" w:space="0" w:color="auto"/>
              <w:bottom w:val="single" w:sz="4" w:space="0" w:color="auto"/>
              <w:right w:val="single" w:sz="4" w:space="0" w:color="auto"/>
            </w:tcBorders>
            <w:shd w:val="clear" w:color="auto" w:fill="E2EFD9" w:themeFill="accent6" w:themeFillTint="33"/>
          </w:tcPr>
          <w:p w:rsidR="001D2EF9" w:rsidRDefault="001D2EF9" w:rsidP="005E77A8">
            <w:pPr>
              <w:rPr>
                <w:lang w:eastAsia="sl-SI"/>
              </w:rPr>
            </w:pPr>
          </w:p>
        </w:tc>
        <w:tc>
          <w:tcPr>
            <w:tcW w:w="2818" w:type="dxa"/>
            <w:tcBorders>
              <w:left w:val="single" w:sz="4" w:space="0" w:color="auto"/>
              <w:right w:val="single" w:sz="4" w:space="0" w:color="auto"/>
            </w:tcBorders>
            <w:shd w:val="clear" w:color="auto" w:fill="E2EFD9" w:themeFill="accent6" w:themeFillTint="33"/>
          </w:tcPr>
          <w:p w:rsidR="001D2EF9" w:rsidRDefault="001D2EF9" w:rsidP="005E77A8">
            <w:pPr>
              <w:rPr>
                <w:lang w:eastAsia="sl-SI"/>
              </w:rPr>
            </w:pPr>
          </w:p>
        </w:tc>
        <w:tc>
          <w:tcPr>
            <w:tcW w:w="3544" w:type="dxa"/>
            <w:tcBorders>
              <w:left w:val="single" w:sz="4" w:space="0" w:color="auto"/>
              <w:bottom w:val="single" w:sz="4" w:space="0" w:color="auto"/>
              <w:right w:val="single" w:sz="4" w:space="0" w:color="auto"/>
            </w:tcBorders>
            <w:shd w:val="clear" w:color="auto" w:fill="E2EFD9" w:themeFill="accent6" w:themeFillTint="33"/>
          </w:tcPr>
          <w:p w:rsidR="001D2EF9" w:rsidRDefault="001D2EF9" w:rsidP="005E77A8">
            <w:pPr>
              <w:rPr>
                <w:lang w:eastAsia="sl-SI"/>
              </w:rPr>
            </w:pPr>
          </w:p>
        </w:tc>
      </w:tr>
      <w:tr w:rsidR="001D2EF9" w:rsidTr="005E77A8">
        <w:tc>
          <w:tcPr>
            <w:tcW w:w="3131" w:type="dxa"/>
            <w:tcBorders>
              <w:top w:val="single" w:sz="4" w:space="0" w:color="auto"/>
              <w:right w:val="single" w:sz="4" w:space="0" w:color="auto"/>
            </w:tcBorders>
          </w:tcPr>
          <w:p w:rsidR="001D2EF9" w:rsidRDefault="001D2EF9" w:rsidP="005E77A8">
            <w:pPr>
              <w:rPr>
                <w:lang w:eastAsia="sl-SI"/>
              </w:rPr>
            </w:pPr>
          </w:p>
        </w:tc>
        <w:tc>
          <w:tcPr>
            <w:tcW w:w="2818" w:type="dxa"/>
            <w:tcBorders>
              <w:left w:val="single" w:sz="4" w:space="0" w:color="auto"/>
              <w:right w:val="single" w:sz="4" w:space="0" w:color="auto"/>
            </w:tcBorders>
            <w:shd w:val="clear" w:color="auto" w:fill="E2EFD9" w:themeFill="accent6" w:themeFillTint="33"/>
          </w:tcPr>
          <w:p w:rsidR="001D2EF9" w:rsidRDefault="001D2EF9" w:rsidP="005E77A8">
            <w:pPr>
              <w:rPr>
                <w:lang w:eastAsia="sl-SI"/>
              </w:rPr>
            </w:pPr>
          </w:p>
        </w:tc>
        <w:tc>
          <w:tcPr>
            <w:tcW w:w="3544" w:type="dxa"/>
            <w:tcBorders>
              <w:top w:val="single" w:sz="4" w:space="0" w:color="auto"/>
              <w:left w:val="single" w:sz="4" w:space="0" w:color="auto"/>
              <w:right w:val="single" w:sz="4" w:space="0" w:color="auto"/>
            </w:tcBorders>
          </w:tcPr>
          <w:p w:rsidR="001D2EF9" w:rsidRDefault="001D2EF9" w:rsidP="005E77A8">
            <w:pPr>
              <w:jc w:val="center"/>
              <w:rPr>
                <w:lang w:eastAsia="sl-SI"/>
              </w:rPr>
            </w:pPr>
            <w:r>
              <w:rPr>
                <w:lang w:eastAsia="sl-SI"/>
              </w:rPr>
              <w:t>Podpis:</w:t>
            </w:r>
          </w:p>
        </w:tc>
      </w:tr>
      <w:tr w:rsidR="001D2EF9" w:rsidTr="005E77A8">
        <w:tc>
          <w:tcPr>
            <w:tcW w:w="3131" w:type="dxa"/>
            <w:tcBorders>
              <w:right w:val="single" w:sz="4" w:space="0" w:color="auto"/>
            </w:tcBorders>
          </w:tcPr>
          <w:p w:rsidR="001D2EF9" w:rsidRDefault="001D2EF9" w:rsidP="005E77A8">
            <w:pPr>
              <w:rPr>
                <w:lang w:eastAsia="sl-SI"/>
              </w:rPr>
            </w:pPr>
          </w:p>
        </w:tc>
        <w:tc>
          <w:tcPr>
            <w:tcW w:w="2818" w:type="dxa"/>
            <w:tcBorders>
              <w:left w:val="single" w:sz="4" w:space="0" w:color="auto"/>
              <w:bottom w:val="single" w:sz="4" w:space="0" w:color="auto"/>
              <w:right w:val="single" w:sz="4" w:space="0" w:color="auto"/>
            </w:tcBorders>
            <w:shd w:val="clear" w:color="auto" w:fill="E2EFD9" w:themeFill="accent6" w:themeFillTint="33"/>
          </w:tcPr>
          <w:p w:rsidR="001D2EF9" w:rsidRDefault="001D2EF9" w:rsidP="005E77A8">
            <w:pPr>
              <w:rPr>
                <w:lang w:eastAsia="sl-SI"/>
              </w:rPr>
            </w:pPr>
          </w:p>
        </w:tc>
        <w:tc>
          <w:tcPr>
            <w:tcW w:w="3544" w:type="dxa"/>
            <w:tcBorders>
              <w:left w:val="single" w:sz="4" w:space="0" w:color="auto"/>
              <w:bottom w:val="single" w:sz="4" w:space="0" w:color="auto"/>
              <w:right w:val="single" w:sz="4" w:space="0" w:color="auto"/>
            </w:tcBorders>
            <w:shd w:val="clear" w:color="auto" w:fill="E2EFD9" w:themeFill="accent6" w:themeFillTint="33"/>
          </w:tcPr>
          <w:p w:rsidR="001D2EF9" w:rsidRDefault="001D2EF9" w:rsidP="005E77A8">
            <w:pPr>
              <w:rPr>
                <w:lang w:eastAsia="sl-SI"/>
              </w:rPr>
            </w:pPr>
          </w:p>
          <w:p w:rsidR="001D2EF9" w:rsidRDefault="001D2EF9" w:rsidP="005E77A8">
            <w:pPr>
              <w:rPr>
                <w:lang w:eastAsia="sl-SI"/>
              </w:rPr>
            </w:pPr>
          </w:p>
        </w:tc>
      </w:tr>
    </w:tbl>
    <w:p w:rsidR="00DB1B34" w:rsidRDefault="00DB1B34"/>
    <w:sectPr w:rsidR="00DB1B34" w:rsidSect="00AD5F93">
      <w:headerReference w:type="default" r:id="rId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92" w:rsidRDefault="001E2592" w:rsidP="001D2EF9">
      <w:pPr>
        <w:spacing w:after="0" w:line="240" w:lineRule="auto"/>
      </w:pPr>
      <w:r>
        <w:separator/>
      </w:r>
    </w:p>
  </w:endnote>
  <w:endnote w:type="continuationSeparator" w:id="0">
    <w:p w:rsidR="001E2592" w:rsidRDefault="001E2592" w:rsidP="001D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92" w:rsidRDefault="001E2592" w:rsidP="001D2EF9">
      <w:pPr>
        <w:spacing w:after="0" w:line="240" w:lineRule="auto"/>
      </w:pPr>
      <w:r>
        <w:separator/>
      </w:r>
    </w:p>
  </w:footnote>
  <w:footnote w:type="continuationSeparator" w:id="0">
    <w:p w:rsidR="001E2592" w:rsidRDefault="001E2592" w:rsidP="001D2EF9">
      <w:pPr>
        <w:spacing w:after="0" w:line="240" w:lineRule="auto"/>
      </w:pPr>
      <w:r>
        <w:continuationSeparator/>
      </w:r>
    </w:p>
  </w:footnote>
  <w:footnote w:id="1">
    <w:p w:rsidR="001D2EF9" w:rsidRDefault="001D2EF9" w:rsidP="001D2EF9">
      <w:pPr>
        <w:pStyle w:val="Sprotnaopomba-besedilo"/>
      </w:pPr>
      <w:r>
        <w:rPr>
          <w:rStyle w:val="Sprotnaopomba-sklic"/>
        </w:rPr>
        <w:footnoteRef/>
      </w:r>
      <w:r>
        <w:t xml:space="preserve"> </w:t>
      </w:r>
      <w:r w:rsidRPr="00EF68DC">
        <w:t>https://www.ajpes.si/Letna_porocila/Predlozitev/Zakljucna_porocila/Predpisi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F9" w:rsidRDefault="001D2EF9">
    <w:pPr>
      <w:pStyle w:val="Glava"/>
    </w:pPr>
    <w:r>
      <w:rPr>
        <w:noProof/>
        <w:lang w:eastAsia="sl-SI"/>
      </w:rPr>
      <w:drawing>
        <wp:anchor distT="0" distB="0" distL="114300" distR="114300" simplePos="0" relativeHeight="251659264" behindDoc="1" locked="0" layoutInCell="1" allowOverlap="1" wp14:anchorId="7AD3B8AC" wp14:editId="276095B2">
          <wp:simplePos x="0" y="0"/>
          <wp:positionH relativeFrom="column">
            <wp:posOffset>0</wp:posOffset>
          </wp:positionH>
          <wp:positionV relativeFrom="paragraph">
            <wp:posOffset>-170756</wp:posOffset>
          </wp:positionV>
          <wp:extent cx="926916" cy="518197"/>
          <wp:effectExtent l="0" t="0" r="698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16" cy="5181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46D35"/>
    <w:multiLevelType w:val="hybridMultilevel"/>
    <w:tmpl w:val="C94C1F82"/>
    <w:lvl w:ilvl="0" w:tplc="18D2B5A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6A1057"/>
    <w:multiLevelType w:val="hybridMultilevel"/>
    <w:tmpl w:val="BD7E00B4"/>
    <w:lvl w:ilvl="0" w:tplc="04240001">
      <w:start w:val="1"/>
      <w:numFmt w:val="bullet"/>
      <w:lvlText w:val=""/>
      <w:lvlJc w:val="left"/>
      <w:pPr>
        <w:ind w:left="1571" w:hanging="360"/>
      </w:pPr>
      <w:rPr>
        <w:rFonts w:ascii="Symbol" w:hAnsi="Symbol" w:hint="default"/>
      </w:rPr>
    </w:lvl>
    <w:lvl w:ilvl="1" w:tplc="4AB42DCC">
      <w:start w:val="3"/>
      <w:numFmt w:val="bullet"/>
      <w:lvlText w:val="–"/>
      <w:lvlJc w:val="left"/>
      <w:pPr>
        <w:ind w:left="2291" w:hanging="360"/>
      </w:pPr>
      <w:rPr>
        <w:rFonts w:ascii="Calibri" w:eastAsiaTheme="minorHAnsi" w:hAnsi="Calibri" w:cs="Calibri"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F9"/>
    <w:rsid w:val="001D2EF9"/>
    <w:rsid w:val="001E2592"/>
    <w:rsid w:val="008856F9"/>
    <w:rsid w:val="00A84D4D"/>
    <w:rsid w:val="00AD5F93"/>
    <w:rsid w:val="00B225F7"/>
    <w:rsid w:val="00DB1B34"/>
    <w:rsid w:val="00E67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105E5-6922-4EC4-92DD-670B8B31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2EF9"/>
    <w:pPr>
      <w:spacing w:after="120"/>
      <w:jc w:val="both"/>
    </w:pPr>
  </w:style>
  <w:style w:type="paragraph" w:styleId="Naslov2">
    <w:name w:val="heading 2"/>
    <w:basedOn w:val="Navaden"/>
    <w:next w:val="Navaden"/>
    <w:link w:val="Naslov2Znak"/>
    <w:uiPriority w:val="9"/>
    <w:unhideWhenUsed/>
    <w:qFormat/>
    <w:rsid w:val="001D2EF9"/>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D2EF9"/>
    <w:rPr>
      <w:rFonts w:asciiTheme="majorHAnsi" w:eastAsiaTheme="majorEastAsia" w:hAnsiTheme="majorHAnsi" w:cstheme="majorBidi"/>
      <w:b/>
      <w:color w:val="2F5496" w:themeColor="accent1" w:themeShade="BF"/>
      <w:sz w:val="26"/>
      <w:szCs w:val="26"/>
    </w:rPr>
  </w:style>
  <w:style w:type="paragraph" w:styleId="Odstavekseznama">
    <w:name w:val="List Paragraph"/>
    <w:basedOn w:val="Navaden"/>
    <w:uiPriority w:val="34"/>
    <w:qFormat/>
    <w:rsid w:val="001D2EF9"/>
    <w:pPr>
      <w:ind w:left="720"/>
      <w:contextualSpacing/>
    </w:pPr>
  </w:style>
  <w:style w:type="table" w:styleId="Tabelamrea">
    <w:name w:val="Table Grid"/>
    <w:basedOn w:val="Navadnatabela"/>
    <w:uiPriority w:val="39"/>
    <w:rsid w:val="001D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1D2EF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1D2EF9"/>
    <w:rPr>
      <w:sz w:val="20"/>
      <w:szCs w:val="20"/>
    </w:rPr>
  </w:style>
  <w:style w:type="character" w:styleId="Sprotnaopomba-sklic">
    <w:name w:val="footnote reference"/>
    <w:basedOn w:val="Privzetapisavaodstavka"/>
    <w:uiPriority w:val="99"/>
    <w:semiHidden/>
    <w:unhideWhenUsed/>
    <w:rsid w:val="001D2EF9"/>
    <w:rPr>
      <w:vertAlign w:val="superscript"/>
    </w:rPr>
  </w:style>
  <w:style w:type="paragraph" w:styleId="Glava">
    <w:name w:val="header"/>
    <w:basedOn w:val="Navaden"/>
    <w:link w:val="GlavaZnak"/>
    <w:uiPriority w:val="99"/>
    <w:unhideWhenUsed/>
    <w:rsid w:val="001D2EF9"/>
    <w:pPr>
      <w:tabs>
        <w:tab w:val="center" w:pos="4536"/>
        <w:tab w:val="right" w:pos="9072"/>
      </w:tabs>
      <w:spacing w:after="0" w:line="240" w:lineRule="auto"/>
    </w:pPr>
  </w:style>
  <w:style w:type="character" w:customStyle="1" w:styleId="GlavaZnak">
    <w:name w:val="Glava Znak"/>
    <w:basedOn w:val="Privzetapisavaodstavka"/>
    <w:link w:val="Glava"/>
    <w:uiPriority w:val="99"/>
    <w:rsid w:val="001D2EF9"/>
  </w:style>
  <w:style w:type="paragraph" w:styleId="Noga">
    <w:name w:val="footer"/>
    <w:basedOn w:val="Navaden"/>
    <w:link w:val="NogaZnak"/>
    <w:uiPriority w:val="99"/>
    <w:unhideWhenUsed/>
    <w:rsid w:val="001D2EF9"/>
    <w:pPr>
      <w:tabs>
        <w:tab w:val="center" w:pos="4536"/>
        <w:tab w:val="right" w:pos="9072"/>
      </w:tabs>
      <w:spacing w:after="0" w:line="240" w:lineRule="auto"/>
    </w:pPr>
  </w:style>
  <w:style w:type="character" w:customStyle="1" w:styleId="NogaZnak">
    <w:name w:val="Noga Znak"/>
    <w:basedOn w:val="Privzetapisavaodstavka"/>
    <w:link w:val="Noga"/>
    <w:uiPriority w:val="99"/>
    <w:rsid w:val="001D2EF9"/>
  </w:style>
  <w:style w:type="paragraph" w:styleId="Besedilooblaka">
    <w:name w:val="Balloon Text"/>
    <w:basedOn w:val="Navaden"/>
    <w:link w:val="BesedilooblakaZnak"/>
    <w:uiPriority w:val="99"/>
    <w:semiHidden/>
    <w:unhideWhenUsed/>
    <w:rsid w:val="001D2E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D7CC9C-40BB-4E48-9EBF-15E7D329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Pahor-Žvanut</dc:creator>
  <cp:keywords/>
  <dc:description/>
  <cp:lastModifiedBy>Lainšček Adna</cp:lastModifiedBy>
  <cp:revision>2</cp:revision>
  <dcterms:created xsi:type="dcterms:W3CDTF">2019-12-17T12:49:00Z</dcterms:created>
  <dcterms:modified xsi:type="dcterms:W3CDTF">2019-12-17T12:49:00Z</dcterms:modified>
</cp:coreProperties>
</file>