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5B" w:rsidRDefault="001C7F5B" w:rsidP="001C7F5B">
      <w:pPr>
        <w:pStyle w:val="Naslov2"/>
        <w:rPr>
          <w:lang w:eastAsia="sl-SI"/>
        </w:rPr>
      </w:pPr>
      <w:bookmarkStart w:id="0" w:name="_Toc26519385"/>
      <w:bookmarkStart w:id="1" w:name="_GoBack"/>
      <w:bookmarkEnd w:id="1"/>
      <w:r>
        <w:rPr>
          <w:lang w:eastAsia="sl-SI"/>
        </w:rPr>
        <w:t>VI. 6</w:t>
      </w:r>
      <w:r>
        <w:rPr>
          <w:lang w:eastAsia="sl-SI"/>
        </w:rPr>
        <w:tab/>
        <w:t>Obrazec: VAROVANJE OSEBNIH PODATKOV IN POSLOVNIH SKRIVNOSTI</w:t>
      </w:r>
      <w:bookmarkEnd w:id="0"/>
      <w:r>
        <w:rPr>
          <w:lang w:eastAsia="sl-SI"/>
        </w:rPr>
        <w:t xml:space="preserve"> </w:t>
      </w:r>
      <w:r>
        <w:rPr>
          <w:lang w:eastAsia="sl-SI"/>
        </w:rPr>
        <w:fldChar w:fldCharType="begin"/>
      </w:r>
      <w:r>
        <w:instrText xml:space="preserve"> TC "</w:instrText>
      </w:r>
      <w:r>
        <w:rPr>
          <w:lang w:eastAsia="sl-SI"/>
        </w:rPr>
        <w:instrText>VI</w:instrText>
      </w:r>
      <w:r w:rsidRPr="004424B3">
        <w:rPr>
          <w:lang w:eastAsia="sl-SI"/>
        </w:rPr>
        <w:instrText xml:space="preserve">. </w:instrText>
      </w:r>
      <w:r>
        <w:rPr>
          <w:lang w:eastAsia="sl-SI"/>
        </w:rPr>
        <w:instrText>6</w:instrText>
      </w:r>
      <w:r w:rsidRPr="004424B3">
        <w:rPr>
          <w:lang w:eastAsia="sl-SI"/>
        </w:rPr>
        <w:tab/>
        <w:instrText>Obrazec: IZJAVA PRIJAVITELJA – DE MINIMIS</w:instrText>
      </w:r>
      <w:r>
        <w:instrText xml:space="preserve">" \f C \l "2" </w:instrText>
      </w:r>
      <w:r>
        <w:rPr>
          <w:lang w:eastAsia="sl-SI"/>
        </w:rPr>
        <w:fldChar w:fldCharType="end"/>
      </w:r>
    </w:p>
    <w:p w:rsidR="001C7F5B" w:rsidRDefault="001C7F5B" w:rsidP="001C7F5B">
      <w:pPr>
        <w:rPr>
          <w:lang w:eastAsia="sl-SI"/>
        </w:rPr>
      </w:pPr>
    </w:p>
    <w:p w:rsidR="001C7F5B" w:rsidRPr="005C5B6C" w:rsidRDefault="001C7F5B" w:rsidP="001C7F5B">
      <w:pPr>
        <w:pBdr>
          <w:bottom w:val="single" w:sz="4" w:space="1" w:color="auto"/>
        </w:pBdr>
        <w:rPr>
          <w:b/>
          <w:lang w:eastAsia="sl-SI"/>
        </w:rPr>
      </w:pPr>
      <w:r w:rsidRPr="005C5B6C">
        <w:rPr>
          <w:b/>
          <w:lang w:eastAsia="sl-SI"/>
        </w:rPr>
        <w:t>Javni razpis »</w:t>
      </w:r>
      <w:r w:rsidRPr="008430E9">
        <w:rPr>
          <w:b/>
          <w:lang w:eastAsia="sl-SI"/>
        </w:rPr>
        <w:t>Za sofinanciranje promocije slovenske turistične ponudbe na tujih trgih v letu 2020</w:t>
      </w:r>
      <w:r w:rsidRPr="005C5B6C">
        <w:rPr>
          <w:b/>
          <w:lang w:eastAsia="sl-SI"/>
        </w:rPr>
        <w:t>«</w:t>
      </w:r>
    </w:p>
    <w:p w:rsidR="001C7F5B" w:rsidRDefault="001C7F5B" w:rsidP="001C7F5B">
      <w:pPr>
        <w:rPr>
          <w:lang w:eastAsia="sl-SI"/>
        </w:rPr>
      </w:pPr>
      <w:r>
        <w:rPr>
          <w:lang w:eastAsia="sl-SI"/>
        </w:rPr>
        <w:t>Spodaj podpisani zakoniti zastopnik,</w:t>
      </w:r>
    </w:p>
    <w:tbl>
      <w:tblPr>
        <w:tblStyle w:val="Tabelamrea"/>
        <w:tblW w:w="9635" w:type="dxa"/>
        <w:tblLook w:val="04A0" w:firstRow="1" w:lastRow="0" w:firstColumn="1" w:lastColumn="0" w:noHBand="0" w:noVBand="1"/>
      </w:tblPr>
      <w:tblGrid>
        <w:gridCol w:w="3823"/>
        <w:gridCol w:w="5812"/>
      </w:tblGrid>
      <w:tr w:rsidR="001C7F5B" w:rsidTr="005E77A8">
        <w:tc>
          <w:tcPr>
            <w:tcW w:w="3823" w:type="dxa"/>
          </w:tcPr>
          <w:p w:rsidR="001C7F5B" w:rsidRPr="006A7F97" w:rsidRDefault="001C7F5B" w:rsidP="005E77A8">
            <w:pPr>
              <w:rPr>
                <w:b/>
                <w:lang w:eastAsia="sl-SI"/>
              </w:rPr>
            </w:pPr>
            <w:r>
              <w:rPr>
                <w:b/>
                <w:lang w:eastAsia="sl-SI"/>
              </w:rPr>
              <w:t xml:space="preserve">NAZIV PRIJAVITELJA  </w:t>
            </w:r>
          </w:p>
        </w:tc>
        <w:tc>
          <w:tcPr>
            <w:tcW w:w="5812" w:type="dxa"/>
            <w:shd w:val="clear" w:color="auto" w:fill="E2EFD9" w:themeFill="accent6" w:themeFillTint="33"/>
          </w:tcPr>
          <w:p w:rsidR="001C7F5B" w:rsidRPr="007365BA" w:rsidRDefault="001C7F5B" w:rsidP="005E77A8">
            <w:pPr>
              <w:rPr>
                <w:b/>
                <w:lang w:eastAsia="sl-SI"/>
              </w:rPr>
            </w:pPr>
          </w:p>
        </w:tc>
      </w:tr>
    </w:tbl>
    <w:p w:rsidR="001C7F5B" w:rsidRDefault="001C7F5B" w:rsidP="001C7F5B">
      <w:pPr>
        <w:rPr>
          <w:lang w:eastAsia="sl-SI"/>
        </w:rPr>
      </w:pPr>
    </w:p>
    <w:p w:rsidR="001C7F5B" w:rsidRDefault="001C7F5B" w:rsidP="001C7F5B">
      <w:pPr>
        <w:rPr>
          <w:lang w:eastAsia="sl-SI"/>
        </w:rPr>
      </w:pPr>
      <w:r w:rsidRPr="00F31B42">
        <w:rPr>
          <w:lang w:eastAsia="sl-SI"/>
        </w:rPr>
        <w:t>izjavljam, da sem s podpisom te izjave seznanjen z njeno vsebino in se  z njo v celoti strinjam:</w:t>
      </w:r>
      <w:r>
        <w:rPr>
          <w:lang w:eastAsia="sl-SI"/>
        </w:rPr>
        <w:t xml:space="preserve"> </w:t>
      </w:r>
    </w:p>
    <w:p w:rsidR="001C7F5B" w:rsidRPr="004F14A7" w:rsidRDefault="001C7F5B" w:rsidP="001C7F5B">
      <w:pPr>
        <w:rPr>
          <w:b/>
          <w:lang w:eastAsia="sl-SI"/>
        </w:rPr>
      </w:pPr>
      <w:r w:rsidRPr="004F14A7">
        <w:rPr>
          <w:b/>
          <w:lang w:eastAsia="sl-SI"/>
        </w:rPr>
        <w:t>1.</w:t>
      </w:r>
      <w:r>
        <w:rPr>
          <w:b/>
          <w:lang w:eastAsia="sl-SI"/>
        </w:rPr>
        <w:t xml:space="preserve"> V</w:t>
      </w:r>
      <w:r w:rsidRPr="004F14A7">
        <w:rPr>
          <w:b/>
          <w:lang w:eastAsia="sl-SI"/>
        </w:rPr>
        <w:t>arov</w:t>
      </w:r>
      <w:r>
        <w:rPr>
          <w:b/>
          <w:lang w:eastAsia="sl-SI"/>
        </w:rPr>
        <w:t>anje osebnih podatkov</w:t>
      </w:r>
    </w:p>
    <w:p w:rsidR="001C7F5B" w:rsidRPr="00F31B42" w:rsidRDefault="001C7F5B" w:rsidP="001C7F5B">
      <w:pPr>
        <w:rPr>
          <w:b/>
          <w:lang w:eastAsia="sl-SI"/>
        </w:rPr>
      </w:pPr>
      <w:r w:rsidRPr="00F31B42">
        <w:rPr>
          <w:b/>
          <w:lang w:eastAsia="sl-SI"/>
        </w:rPr>
        <w:t xml:space="preserve">Vrsta in namen obdelave osebnih podatkov: </w:t>
      </w:r>
    </w:p>
    <w:p w:rsidR="001C7F5B" w:rsidRDefault="001C7F5B" w:rsidP="001C7F5B">
      <w:pPr>
        <w:rPr>
          <w:lang w:eastAsia="sl-SI"/>
        </w:rPr>
      </w:pPr>
      <w:r>
        <w:rPr>
          <w:lang w:eastAsia="sl-SI"/>
        </w:rPr>
        <w:t xml:space="preserve">Za namen izvajanja tega javnega razpisa se obdelujejo osebni podatki kot so ime in priimek, vloga v podjetju, telefonska številka, e-pošta. </w:t>
      </w:r>
    </w:p>
    <w:p w:rsidR="001C7F5B" w:rsidRDefault="001C7F5B" w:rsidP="001C7F5B">
      <w:pPr>
        <w:rPr>
          <w:lang w:eastAsia="sl-SI"/>
        </w:rPr>
      </w:pPr>
      <w:r>
        <w:rPr>
          <w:lang w:eastAsia="sl-SI"/>
        </w:rPr>
        <w:t>Namen obdelave je izvedba javnega razpisa, vodenje podatkov in evidenc, vodenje statističnih in drugih analitičnih evidenc ter priprava poročil in drugih dokumentov. Namen obdelave podatkov po sklenitvi pogodbe o sofinanciranju bo preverjanje izpolnjenosti pogojev, rokov in proračunskih možnosti za izplačilo Zahtevka za izplačilo (nastanek dejanskih stroškov, realizacija, in druge oblike dokazil), vodenje evidence veljavnih projektov (vključno z odstopi od pogodb), poročanje Ministrstvu za gospodarski razvoj in tehnologijo, Ministrstvu za finance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w:t>
      </w:r>
    </w:p>
    <w:p w:rsidR="001C7F5B" w:rsidRPr="00F31B42" w:rsidRDefault="001C7F5B" w:rsidP="001C7F5B">
      <w:pPr>
        <w:rPr>
          <w:b/>
          <w:lang w:eastAsia="sl-SI"/>
        </w:rPr>
      </w:pPr>
      <w:r w:rsidRPr="00F31B42">
        <w:rPr>
          <w:b/>
          <w:lang w:eastAsia="sl-SI"/>
        </w:rPr>
        <w:t xml:space="preserve">Pravna podlaga za obdelovanje osebnih podatkov: </w:t>
      </w:r>
    </w:p>
    <w:p w:rsidR="001C7F5B" w:rsidRDefault="001C7F5B" w:rsidP="001C7F5B">
      <w:pPr>
        <w:rPr>
          <w:lang w:eastAsia="sl-SI"/>
        </w:rPr>
      </w:pPr>
      <w:r>
        <w:rPr>
          <w:lang w:eastAsia="sl-SI"/>
        </w:rPr>
        <w:t xml:space="preserve">STO vse osebne podatke varuje v skladu z veljavno zakonodajo. Pri tem smo zavezani ravnati v skladu s Splošno uredbo o varstvu podatkov (General Data </w:t>
      </w:r>
      <w:proofErr w:type="spellStart"/>
      <w:r>
        <w:rPr>
          <w:lang w:eastAsia="sl-SI"/>
        </w:rPr>
        <w:t>Protection</w:t>
      </w:r>
      <w:proofErr w:type="spellEnd"/>
      <w:r>
        <w:rPr>
          <w:lang w:eastAsia="sl-SI"/>
        </w:rPr>
        <w:t xml:space="preserve"> </w:t>
      </w:r>
      <w:proofErr w:type="spellStart"/>
      <w:r>
        <w:rPr>
          <w:lang w:eastAsia="sl-SI"/>
        </w:rPr>
        <w:t>Regulation</w:t>
      </w:r>
      <w:proofErr w:type="spellEnd"/>
      <w:r>
        <w:rPr>
          <w:lang w:eastAsia="sl-SI"/>
        </w:rPr>
        <w:t>, GDPR – Uredba (EU) 2016/679 Evropskega parlamenta in Sveta) in ZVOP-1 ter internim Pravilnikom, ki ureja varstvo osebnih podatkov na STO.</w:t>
      </w:r>
    </w:p>
    <w:p w:rsidR="001C7F5B" w:rsidRDefault="001C7F5B" w:rsidP="001C7F5B">
      <w:pPr>
        <w:rPr>
          <w:lang w:eastAsia="sl-SI"/>
        </w:rPr>
      </w:pPr>
      <w:r>
        <w:rPr>
          <w:lang w:eastAsia="sl-SI"/>
        </w:rPr>
        <w:t>Za obdelavo osebnih podatkov, ki bodo posredovani v vlogi prijavitelja oziroma v dokazilih in drugih gradivih, tako ob prijavi na ta javni razpis kot tekom trajanja projekta oz. izvajanja pogodbe o sofinanciranju,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ta javni razpis, oziroma v nadaljnje, ob izvajanju tovrstne pogodbe.</w:t>
      </w:r>
    </w:p>
    <w:p w:rsidR="001C7F5B" w:rsidRDefault="001C7F5B" w:rsidP="001C7F5B">
      <w:pPr>
        <w:rPr>
          <w:lang w:eastAsia="sl-SI"/>
        </w:rPr>
      </w:pPr>
      <w:r>
        <w:rPr>
          <w:lang w:eastAsia="sl-SI"/>
        </w:rPr>
        <w:t>Po sklenitvi pogodbe o sofinanciranju, bo upravičenec zavezan k posredovanju določenih, vnaprej predvidenih osebnih podatkov v okviru Zahtevkov za izplačilo in pripadajočih dokazil oziroma drugih gradiv, na podlagi pogodbene obveznosti upravičenca.</w:t>
      </w:r>
    </w:p>
    <w:p w:rsidR="001C7F5B" w:rsidRDefault="001C7F5B" w:rsidP="001C7F5B">
      <w:pPr>
        <w:rPr>
          <w:b/>
          <w:lang w:eastAsia="sl-SI"/>
        </w:rPr>
      </w:pPr>
    </w:p>
    <w:p w:rsidR="001C7F5B" w:rsidRDefault="001C7F5B" w:rsidP="001C7F5B">
      <w:pPr>
        <w:rPr>
          <w:b/>
          <w:lang w:eastAsia="sl-SI"/>
        </w:rPr>
      </w:pPr>
    </w:p>
    <w:p w:rsidR="001C7F5B" w:rsidRPr="00F31B42" w:rsidRDefault="001C7F5B" w:rsidP="001C7F5B">
      <w:pPr>
        <w:rPr>
          <w:b/>
          <w:lang w:eastAsia="sl-SI"/>
        </w:rPr>
      </w:pPr>
      <w:r w:rsidRPr="00F31B42">
        <w:rPr>
          <w:b/>
          <w:lang w:eastAsia="sl-SI"/>
        </w:rPr>
        <w:lastRenderedPageBreak/>
        <w:t>Ukrepi za varovanje osebnih podatkov:</w:t>
      </w:r>
    </w:p>
    <w:p w:rsidR="001C7F5B" w:rsidRDefault="001C7F5B" w:rsidP="001C7F5B">
      <w:pPr>
        <w:rPr>
          <w:lang w:eastAsia="sl-SI"/>
        </w:rPr>
      </w:pPr>
      <w:r>
        <w:rPr>
          <w:lang w:eastAsia="sl-SI"/>
        </w:rPr>
        <w:t xml:space="preserve">Zaposleni na STO, ki morajo po službeni dolžnosti imeti dostop do teh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bookmarkStart w:id="2" w:name="_Hlk25581094"/>
      <w:r>
        <w:rPr>
          <w:lang w:eastAsia="sl-SI"/>
        </w:rPr>
        <w:t>Na tehnični ravni STO izvaja ukrepe za varovanje osebnih podatkov, v okviru katerih zagotavlja predvsem fizično varovanje gradiva, ki vsebuje osebne podatke, v posebnih zaklenjenih omarah. Pisarne uslužbencev, kjer se gradivo hrani, so varovane z navadnimi vrati, ki se zaklepajo, delovni prostori STO pa so varovani tudi z alarmnimi napravami</w:t>
      </w:r>
      <w:bookmarkEnd w:id="2"/>
      <w:r>
        <w:rPr>
          <w:lang w:eastAsia="sl-SI"/>
        </w:rPr>
        <w:t xml:space="preserve">. STO izvaja tudi organizacijske ukrepe, v okviru katerih si prizadeva za hranjenje zgolj minimalno potrebnih osebnih podatkov in izvedbo </w:t>
      </w:r>
      <w:proofErr w:type="spellStart"/>
      <w:r>
        <w:rPr>
          <w:lang w:eastAsia="sl-SI"/>
        </w:rPr>
        <w:t>psevdonimizacije</w:t>
      </w:r>
      <w:proofErr w:type="spellEnd"/>
      <w:r>
        <w:rPr>
          <w:lang w:eastAsia="sl-SI"/>
        </w:rPr>
        <w:t xml:space="preserve"> podatkov, kadar je to mogoče in primerno za obdelavo. </w:t>
      </w:r>
    </w:p>
    <w:p w:rsidR="001C7F5B" w:rsidRPr="00F31B42" w:rsidRDefault="001C7F5B" w:rsidP="001C7F5B">
      <w:pPr>
        <w:rPr>
          <w:b/>
          <w:lang w:eastAsia="sl-SI"/>
        </w:rPr>
      </w:pPr>
      <w:bookmarkStart w:id="3" w:name="_Hlk25581189"/>
      <w:r w:rsidRPr="00F31B42">
        <w:rPr>
          <w:b/>
          <w:lang w:eastAsia="sl-SI"/>
        </w:rPr>
        <w:t xml:space="preserve">Uporabniki osebnih podatkov: </w:t>
      </w:r>
    </w:p>
    <w:p w:rsidR="001C7F5B" w:rsidRDefault="001C7F5B" w:rsidP="001C7F5B">
      <w:pPr>
        <w:rPr>
          <w:lang w:eastAsia="sl-SI"/>
        </w:rPr>
      </w:pPr>
      <w:r>
        <w:rPr>
          <w:lang w:eastAsia="sl-SI"/>
        </w:rPr>
        <w:t>Posredovane osebne podatke bodo na STO uporabljale sledeče kategorije oseb: člani razpisne komisije, zaposleni v Službi za pravne, kadrovske in strokovno-tehnične zadeve, zaposleni v finančni-računovodski službi, zaposleni, ki opravljajo naloge glavne pisarne STO  ter nadzorni organi</w:t>
      </w:r>
      <w:bookmarkEnd w:id="3"/>
      <w:r>
        <w:rPr>
          <w:lang w:eastAsia="sl-SI"/>
        </w:rPr>
        <w:t xml:space="preserve"> (Ministrstvo za gospodarski razvoj in tehnologijo, Ministrstvo za finance in drugi pristojni nadzorni organi). </w:t>
      </w:r>
    </w:p>
    <w:p w:rsidR="001C7F5B" w:rsidRDefault="001C7F5B" w:rsidP="001C7F5B">
      <w:pPr>
        <w:rPr>
          <w:lang w:eastAsia="sl-SI"/>
        </w:rPr>
      </w:pPr>
      <w:r>
        <w:rPr>
          <w:lang w:eastAsia="sl-SI"/>
        </w:rPr>
        <w:t>STO prejetih osebnih podatkov, poenoteno s prejšnjim odstavkom, ne bo iznašala v tretjo državo ali mednarodno organizacijo. Prav tako osebni podatki prijavitelja ne bodo podvrženi avtomatiziranemu sprejemanju odločitev oziroma oblikovanju profilov iz prvega in četrtega odstavka 22. člena Splošne uredbe o varstvu podatkov</w:t>
      </w:r>
    </w:p>
    <w:p w:rsidR="001C7F5B" w:rsidRPr="00F31B42" w:rsidRDefault="001C7F5B" w:rsidP="001C7F5B">
      <w:pPr>
        <w:rPr>
          <w:b/>
          <w:lang w:eastAsia="sl-SI"/>
        </w:rPr>
      </w:pPr>
      <w:r w:rsidRPr="00F31B42">
        <w:rPr>
          <w:b/>
          <w:lang w:eastAsia="sl-SI"/>
        </w:rPr>
        <w:t>Pravice posameznika</w:t>
      </w:r>
      <w:r>
        <w:rPr>
          <w:b/>
          <w:lang w:eastAsia="sl-SI"/>
        </w:rPr>
        <w:t>:</w:t>
      </w:r>
      <w:r w:rsidRPr="00F31B42">
        <w:rPr>
          <w:b/>
          <w:lang w:eastAsia="sl-SI"/>
        </w:rPr>
        <w:t xml:space="preserve"> </w:t>
      </w:r>
    </w:p>
    <w:p w:rsidR="001C7F5B" w:rsidRDefault="001C7F5B" w:rsidP="001C7F5B">
      <w:pPr>
        <w:rPr>
          <w:lang w:eastAsia="sl-SI"/>
        </w:rPr>
      </w:pPr>
      <w:r>
        <w:rPr>
          <w:lang w:eastAsia="sl-SI"/>
        </w:rPr>
        <w:t xml:space="preserve">S pisno zahtevo, poslano na naslov: Javna agencija Republike Slovenije za trženje in promocijo turizma, Dimičeva ulica 13, 1000 Ljubljana ali na elektronski naslov </w:t>
      </w:r>
      <w:hyperlink r:id="rId6" w:history="1">
        <w:r w:rsidRPr="00F742DB">
          <w:rPr>
            <w:rStyle w:val="Hiperpovezava"/>
            <w:lang w:eastAsia="sl-SI"/>
          </w:rPr>
          <w:t>dpo@slovenia.info</w:t>
        </w:r>
      </w:hyperlink>
      <w:r>
        <w:rPr>
          <w:lang w:eastAsia="sl-SI"/>
        </w:rPr>
        <w:t xml:space="preserve">, lahko zahtevate dostop, dopolnitev, popravek, blokiranje oz. omejitev obdelave ali izbris osebnih podatkov, ugovarjate obdelavi podatkov, ki se obdelujejo v zvezi z vami ter zahtevate prenos podatkov. Če menite, da se vaši osebni podatki shranjujejo ali kako drugače obdelujejo v nasprotju z veljavnimi predpisi, ki urejajo varstvo osebnih podatkov, imate pravico do vložitve pritožbe pri nadzornem organu za varstvo osebnih podatkov Republike Slovenije - pri Informacijskem pooblaščencu, Zaloška cesta 59, SI-1000 Ljubljana, </w:t>
      </w:r>
      <w:proofErr w:type="spellStart"/>
      <w:r>
        <w:rPr>
          <w:lang w:eastAsia="sl-SI"/>
        </w:rPr>
        <w:t>tel</w:t>
      </w:r>
      <w:proofErr w:type="spellEnd"/>
      <w:r>
        <w:rPr>
          <w:lang w:eastAsia="sl-SI"/>
        </w:rPr>
        <w:t xml:space="preserve">: 01 230 97 30, e-mail: </w:t>
      </w:r>
      <w:hyperlink r:id="rId7" w:history="1">
        <w:r w:rsidRPr="00F742DB">
          <w:rPr>
            <w:rStyle w:val="Hiperpovezava"/>
            <w:lang w:eastAsia="sl-SI"/>
          </w:rPr>
          <w:t>gp.ip@ip-rs.si</w:t>
        </w:r>
      </w:hyperlink>
      <w:r>
        <w:rPr>
          <w:lang w:eastAsia="sl-SI"/>
        </w:rPr>
        <w:t xml:space="preserve">, spletna stran: </w:t>
      </w:r>
      <w:hyperlink r:id="rId8" w:history="1">
        <w:r w:rsidRPr="00F742DB">
          <w:rPr>
            <w:rStyle w:val="Hiperpovezava"/>
            <w:lang w:eastAsia="sl-SI"/>
          </w:rPr>
          <w:t>https://www.ip-rs.si/</w:t>
        </w:r>
      </w:hyperlink>
      <w:r>
        <w:rPr>
          <w:lang w:eastAsia="sl-SI"/>
        </w:rPr>
        <w:t xml:space="preserve">.  </w:t>
      </w:r>
    </w:p>
    <w:p w:rsidR="001C7F5B" w:rsidRPr="00F31B42" w:rsidRDefault="001C7F5B" w:rsidP="001C7F5B">
      <w:pPr>
        <w:rPr>
          <w:b/>
          <w:lang w:eastAsia="sl-SI"/>
        </w:rPr>
      </w:pPr>
      <w:r w:rsidRPr="00F31B42">
        <w:rPr>
          <w:b/>
          <w:lang w:eastAsia="sl-SI"/>
        </w:rPr>
        <w:t>Čas obdelave oziroma rok hrambe:</w:t>
      </w:r>
    </w:p>
    <w:p w:rsidR="001C7F5B" w:rsidRDefault="001C7F5B" w:rsidP="001C7F5B">
      <w:pPr>
        <w:rPr>
          <w:lang w:eastAsia="sl-SI"/>
        </w:rPr>
      </w:pPr>
      <w:r>
        <w:rPr>
          <w:lang w:eastAsia="sl-SI"/>
        </w:rPr>
        <w:t xml:space="preserve">Prejeti osebni podatki se bodo obdelovali le toliko časa, dokler bo to potrebno za dosego namena, zaradi katerega so se zbirali ali nadalje obdelovali, torej dokler ne bo razpis izveden oziroma projekt zaključena in roki za poročanje in spremljanje pretečeni. Po izpolnitvi namena obdelave, pa bodo osebni podatki izbrisani oziroma uničeni. V izjemnih primerih, ko drugače ni mogoče določiti roka hrambe osebnih podatkov po koncu njihove obdelave, je to rok petih (5) let. Kadar Zakon o varstvu dokumentarnega in arhivskega gradiva ter arhivih oziroma na njegovi podlagi klasifikacijski načrt STO predpisuje hrambo in tip hrambe dokumentov, v katerih se osebni podatki nahajajo, bodo tovrstni osebni podatki arhivirani in tam kjer je mogoče izbrisani – če niso trajno arhivsko gradivo. </w:t>
      </w:r>
    </w:p>
    <w:p w:rsidR="001C7F5B" w:rsidRDefault="001C7F5B" w:rsidP="001C7F5B">
      <w:pPr>
        <w:rPr>
          <w:lang w:eastAsia="sl-SI"/>
        </w:rPr>
      </w:pPr>
      <w:r>
        <w:rPr>
          <w:lang w:eastAsia="sl-SI"/>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rsidR="001C7F5B" w:rsidRPr="00F31B42" w:rsidRDefault="001C7F5B" w:rsidP="001C7F5B">
      <w:pPr>
        <w:rPr>
          <w:b/>
          <w:lang w:eastAsia="sl-SI"/>
        </w:rPr>
      </w:pPr>
      <w:r w:rsidRPr="00F31B42">
        <w:rPr>
          <w:b/>
          <w:lang w:eastAsia="sl-SI"/>
        </w:rPr>
        <w:lastRenderedPageBreak/>
        <w:t xml:space="preserve">2. Varovanje poslovnih skrivnosti </w:t>
      </w:r>
    </w:p>
    <w:p w:rsidR="001C7F5B" w:rsidRDefault="001C7F5B" w:rsidP="001C7F5B">
      <w:pPr>
        <w:rPr>
          <w:lang w:eastAsia="sl-SI"/>
        </w:rPr>
      </w:pPr>
      <w:r>
        <w:rPr>
          <w:lang w:eastAsia="sl-SI"/>
        </w:rPr>
        <w:t xml:space="preserve">Prijavitelj, ki kandidira na razpisu se z oddajo vloge strinja, da bo celotna vloga, ne glede na tajnost ali zaupnost podatkov, na razpolago vsem zgoraj navedenim kategorijam uporabnikov osebnih podatkov. S prijavo na javni razpis se prijavitelj strinja, da javni uslužbenci z namenom preverjanja vloge in odločitve o sofinanciranju </w:t>
      </w:r>
      <w:proofErr w:type="spellStart"/>
      <w:r>
        <w:rPr>
          <w:lang w:eastAsia="sl-SI"/>
        </w:rPr>
        <w:t>vpogledajo</w:t>
      </w:r>
      <w:proofErr w:type="spellEnd"/>
      <w:r>
        <w:rPr>
          <w:lang w:eastAsia="sl-SI"/>
        </w:rPr>
        <w:t xml:space="preserve"> v vlogo ter vključno v tiste njene dele, ki so označeni kot poslovna skrivnost, saj je vpogled v te dele potreben za preverjanje izpolnjevanja pogojev in izdelavo ocene vloge. 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Pr>
          <w:lang w:eastAsia="sl-SI"/>
        </w:rPr>
        <w:t>odl</w:t>
      </w:r>
      <w:proofErr w:type="spellEnd"/>
      <w:r>
        <w:rPr>
          <w:lang w:eastAsia="sl-SI"/>
        </w:rPr>
        <w:t>. US, 102/15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STO lahko domnevala, da vloga po stališču prijavitelja ne vsebuje poslovnih skrivnosti in drugih izjem iz 6. člena ZDIJZ. Podatki o sofinanciranih operacijah, za katere je tako določeno s predpisi ali so javnega značaja, se bodo objavili. Objavljen bo seznam upravičencev, ki bo obsegal navedbo upravičenca, naziv projekta in znesek javnih virov financiranja projekta.  Objave podatkov o projektih in upravičencih do sredstev bodo izvedene v skladu z zakonom, ki ureja dostop do informacij javnega značaja in zakonom, ki ureja varstvo osebnih podatkov.</w:t>
      </w:r>
    </w:p>
    <w:p w:rsidR="001C7F5B" w:rsidRDefault="001C7F5B" w:rsidP="001C7F5B">
      <w:pPr>
        <w:rPr>
          <w:lang w:eastAsia="sl-SI"/>
        </w:rPr>
      </w:pPr>
    </w:p>
    <w:tbl>
      <w:tblPr>
        <w:tblStyle w:val="Tabelamrea"/>
        <w:tblW w:w="0" w:type="auto"/>
        <w:tblLook w:val="04A0" w:firstRow="1" w:lastRow="0" w:firstColumn="1" w:lastColumn="0" w:noHBand="0" w:noVBand="1"/>
      </w:tblPr>
      <w:tblGrid>
        <w:gridCol w:w="4697"/>
        <w:gridCol w:w="4697"/>
      </w:tblGrid>
      <w:tr w:rsidR="001C7F5B" w:rsidTr="005E77A8">
        <w:tc>
          <w:tcPr>
            <w:tcW w:w="4697" w:type="dxa"/>
          </w:tcPr>
          <w:p w:rsidR="001C7F5B" w:rsidRPr="00F31B42" w:rsidRDefault="001C7F5B" w:rsidP="005E77A8">
            <w:pPr>
              <w:spacing w:line="259" w:lineRule="auto"/>
              <w:rPr>
                <w:b/>
                <w:lang w:eastAsia="sl-SI"/>
              </w:rPr>
            </w:pPr>
            <w:r w:rsidRPr="00F31B42">
              <w:rPr>
                <w:b/>
                <w:lang w:eastAsia="sl-SI"/>
              </w:rPr>
              <w:t>Kontaktni podatki upravljavca osebnih podatkov:</w:t>
            </w:r>
          </w:p>
          <w:p w:rsidR="001C7F5B" w:rsidRDefault="001C7F5B" w:rsidP="005E77A8">
            <w:pPr>
              <w:spacing w:line="259" w:lineRule="auto"/>
              <w:rPr>
                <w:lang w:eastAsia="sl-SI"/>
              </w:rPr>
            </w:pPr>
            <w:r>
              <w:rPr>
                <w:lang w:eastAsia="sl-SI"/>
              </w:rPr>
              <w:t>Javna agencija Republike Slovenije za trženje in promocijo turizma, Dimičeva ulica 13, 1000 Ljubljana (STO)</w:t>
            </w:r>
          </w:p>
          <w:p w:rsidR="001C7F5B" w:rsidRDefault="001C7F5B" w:rsidP="005E77A8">
            <w:pPr>
              <w:spacing w:line="259" w:lineRule="auto"/>
              <w:rPr>
                <w:lang w:eastAsia="sl-SI"/>
              </w:rPr>
            </w:pPr>
            <w:r>
              <w:rPr>
                <w:lang w:eastAsia="sl-SI"/>
              </w:rPr>
              <w:t>telefonska številka: +386 1 5898 550</w:t>
            </w:r>
          </w:p>
          <w:p w:rsidR="001C7F5B" w:rsidRDefault="001C7F5B" w:rsidP="005E77A8">
            <w:pPr>
              <w:spacing w:line="259" w:lineRule="auto"/>
              <w:rPr>
                <w:lang w:eastAsia="sl-SI"/>
              </w:rPr>
            </w:pPr>
            <w:r>
              <w:rPr>
                <w:lang w:eastAsia="sl-SI"/>
              </w:rPr>
              <w:t xml:space="preserve">spletna stran: www.slovenia.info </w:t>
            </w:r>
          </w:p>
          <w:p w:rsidR="001C7F5B" w:rsidRDefault="001C7F5B" w:rsidP="005E77A8">
            <w:pPr>
              <w:spacing w:line="259" w:lineRule="auto"/>
              <w:rPr>
                <w:lang w:eastAsia="sl-SI"/>
              </w:rPr>
            </w:pPr>
            <w:r>
              <w:rPr>
                <w:lang w:eastAsia="sl-SI"/>
              </w:rPr>
              <w:t xml:space="preserve">e-naslov: info@slovenia.info </w:t>
            </w:r>
          </w:p>
        </w:tc>
        <w:tc>
          <w:tcPr>
            <w:tcW w:w="4697" w:type="dxa"/>
          </w:tcPr>
          <w:p w:rsidR="001C7F5B" w:rsidRPr="00F31B42" w:rsidRDefault="001C7F5B" w:rsidP="005E77A8">
            <w:pPr>
              <w:spacing w:line="259" w:lineRule="auto"/>
              <w:rPr>
                <w:b/>
                <w:lang w:eastAsia="sl-SI"/>
              </w:rPr>
            </w:pPr>
            <w:r w:rsidRPr="00F31B42">
              <w:rPr>
                <w:b/>
                <w:lang w:eastAsia="sl-SI"/>
              </w:rPr>
              <w:t xml:space="preserve">Kontaktni podatki osebe, pooblaščene za varstvo osebnih podatkov: </w:t>
            </w:r>
          </w:p>
          <w:p w:rsidR="001C7F5B" w:rsidRDefault="001C7F5B" w:rsidP="005E77A8">
            <w:pPr>
              <w:spacing w:line="259" w:lineRule="auto"/>
              <w:rPr>
                <w:lang w:eastAsia="sl-SI"/>
              </w:rPr>
            </w:pPr>
            <w:r>
              <w:rPr>
                <w:lang w:eastAsia="sl-SI"/>
              </w:rPr>
              <w:t>Javna agencija Republike Slovenije za trženje in promocijo turizma, Dimičeva ulica 13, 1000 Ljubljana (STO)</w:t>
            </w:r>
          </w:p>
          <w:p w:rsidR="001C7F5B" w:rsidRDefault="001C7F5B" w:rsidP="005E77A8">
            <w:pPr>
              <w:spacing w:line="259" w:lineRule="auto"/>
              <w:rPr>
                <w:lang w:eastAsia="sl-SI"/>
              </w:rPr>
            </w:pPr>
            <w:r>
              <w:rPr>
                <w:lang w:eastAsia="sl-SI"/>
              </w:rPr>
              <w:t>Telefonska številka: + 386 1 589 85 50</w:t>
            </w:r>
          </w:p>
          <w:p w:rsidR="001C7F5B" w:rsidRDefault="001C7F5B" w:rsidP="005E77A8">
            <w:pPr>
              <w:spacing w:line="259" w:lineRule="auto"/>
              <w:rPr>
                <w:lang w:eastAsia="sl-SI"/>
              </w:rPr>
            </w:pPr>
            <w:r>
              <w:rPr>
                <w:lang w:eastAsia="sl-SI"/>
              </w:rPr>
              <w:t>elektronska pošta: dpo@slovenia.info</w:t>
            </w:r>
          </w:p>
        </w:tc>
      </w:tr>
    </w:tbl>
    <w:p w:rsidR="001C7F5B" w:rsidRDefault="001C7F5B" w:rsidP="001C7F5B">
      <w:pPr>
        <w:rPr>
          <w:lang w:eastAsia="sl-SI"/>
        </w:rPr>
      </w:pPr>
    </w:p>
    <w:p w:rsidR="001C7F5B" w:rsidRDefault="001C7F5B" w:rsidP="001C7F5B">
      <w:pPr>
        <w:rPr>
          <w:lang w:eastAsia="sl-SI"/>
        </w:rPr>
      </w:pPr>
    </w:p>
    <w:p w:rsidR="001C7F5B" w:rsidRDefault="001C7F5B" w:rsidP="001C7F5B">
      <w:pPr>
        <w:rPr>
          <w:lang w:eastAsia="sl-SI"/>
        </w:rPr>
      </w:pPr>
    </w:p>
    <w:tbl>
      <w:tblPr>
        <w:tblStyle w:val="Tabelamre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818"/>
        <w:gridCol w:w="3544"/>
      </w:tblGrid>
      <w:tr w:rsidR="001C7F5B" w:rsidTr="005E77A8">
        <w:tc>
          <w:tcPr>
            <w:tcW w:w="3131" w:type="dxa"/>
            <w:tcBorders>
              <w:top w:val="single" w:sz="4" w:space="0" w:color="auto"/>
              <w:left w:val="single" w:sz="4" w:space="0" w:color="auto"/>
              <w:right w:val="single" w:sz="4" w:space="0" w:color="auto"/>
            </w:tcBorders>
          </w:tcPr>
          <w:p w:rsidR="001C7F5B" w:rsidRDefault="001C7F5B" w:rsidP="005E77A8">
            <w:pPr>
              <w:rPr>
                <w:lang w:eastAsia="sl-SI"/>
              </w:rPr>
            </w:pPr>
            <w:r>
              <w:rPr>
                <w:lang w:eastAsia="sl-SI"/>
              </w:rPr>
              <w:t>Kraj, datum:</w:t>
            </w:r>
          </w:p>
        </w:tc>
        <w:tc>
          <w:tcPr>
            <w:tcW w:w="2818" w:type="dxa"/>
            <w:tcBorders>
              <w:top w:val="single" w:sz="4" w:space="0" w:color="auto"/>
              <w:left w:val="single" w:sz="4" w:space="0" w:color="auto"/>
              <w:right w:val="single" w:sz="4" w:space="0" w:color="auto"/>
            </w:tcBorders>
          </w:tcPr>
          <w:p w:rsidR="001C7F5B" w:rsidRDefault="001C7F5B" w:rsidP="005E77A8">
            <w:pPr>
              <w:jc w:val="center"/>
              <w:rPr>
                <w:lang w:eastAsia="sl-SI"/>
              </w:rPr>
            </w:pPr>
            <w:r>
              <w:rPr>
                <w:lang w:eastAsia="sl-SI"/>
              </w:rPr>
              <w:t>Žig:</w:t>
            </w:r>
          </w:p>
        </w:tc>
        <w:tc>
          <w:tcPr>
            <w:tcW w:w="3544" w:type="dxa"/>
            <w:tcBorders>
              <w:top w:val="single" w:sz="4" w:space="0" w:color="auto"/>
              <w:left w:val="single" w:sz="4" w:space="0" w:color="auto"/>
              <w:right w:val="single" w:sz="4" w:space="0" w:color="auto"/>
            </w:tcBorders>
          </w:tcPr>
          <w:p w:rsidR="001C7F5B" w:rsidRDefault="001C7F5B" w:rsidP="005E77A8">
            <w:pPr>
              <w:jc w:val="center"/>
              <w:rPr>
                <w:lang w:eastAsia="sl-SI"/>
              </w:rPr>
            </w:pPr>
            <w:r>
              <w:rPr>
                <w:lang w:eastAsia="sl-SI"/>
              </w:rPr>
              <w:t>Ime in priimek zakonitega zastopnika:</w:t>
            </w:r>
          </w:p>
        </w:tc>
      </w:tr>
      <w:tr w:rsidR="001C7F5B" w:rsidTr="005E77A8">
        <w:tc>
          <w:tcPr>
            <w:tcW w:w="3131" w:type="dxa"/>
            <w:tcBorders>
              <w:left w:val="single" w:sz="4" w:space="0" w:color="auto"/>
              <w:bottom w:val="single" w:sz="4" w:space="0" w:color="auto"/>
              <w:right w:val="single" w:sz="4" w:space="0" w:color="auto"/>
            </w:tcBorders>
            <w:shd w:val="clear" w:color="auto" w:fill="E2EFD9" w:themeFill="accent6" w:themeFillTint="33"/>
          </w:tcPr>
          <w:p w:rsidR="001C7F5B" w:rsidRDefault="001C7F5B" w:rsidP="005E77A8">
            <w:pPr>
              <w:rPr>
                <w:lang w:eastAsia="sl-SI"/>
              </w:rPr>
            </w:pPr>
          </w:p>
        </w:tc>
        <w:tc>
          <w:tcPr>
            <w:tcW w:w="2818" w:type="dxa"/>
            <w:tcBorders>
              <w:left w:val="single" w:sz="4" w:space="0" w:color="auto"/>
              <w:right w:val="single" w:sz="4" w:space="0" w:color="auto"/>
            </w:tcBorders>
            <w:shd w:val="clear" w:color="auto" w:fill="E2EFD9" w:themeFill="accent6" w:themeFillTint="33"/>
          </w:tcPr>
          <w:p w:rsidR="001C7F5B" w:rsidRDefault="001C7F5B" w:rsidP="005E77A8">
            <w:pPr>
              <w:rPr>
                <w:lang w:eastAsia="sl-SI"/>
              </w:rPr>
            </w:pPr>
          </w:p>
        </w:tc>
        <w:tc>
          <w:tcPr>
            <w:tcW w:w="3544" w:type="dxa"/>
            <w:tcBorders>
              <w:left w:val="single" w:sz="4" w:space="0" w:color="auto"/>
              <w:bottom w:val="single" w:sz="4" w:space="0" w:color="auto"/>
              <w:right w:val="single" w:sz="4" w:space="0" w:color="auto"/>
            </w:tcBorders>
            <w:shd w:val="clear" w:color="auto" w:fill="E2EFD9" w:themeFill="accent6" w:themeFillTint="33"/>
          </w:tcPr>
          <w:p w:rsidR="001C7F5B" w:rsidRDefault="001C7F5B" w:rsidP="005E77A8">
            <w:pPr>
              <w:rPr>
                <w:lang w:eastAsia="sl-SI"/>
              </w:rPr>
            </w:pPr>
          </w:p>
        </w:tc>
      </w:tr>
      <w:tr w:rsidR="001C7F5B" w:rsidTr="005E77A8">
        <w:tc>
          <w:tcPr>
            <w:tcW w:w="3131" w:type="dxa"/>
            <w:tcBorders>
              <w:top w:val="single" w:sz="4" w:space="0" w:color="auto"/>
              <w:right w:val="single" w:sz="4" w:space="0" w:color="auto"/>
            </w:tcBorders>
          </w:tcPr>
          <w:p w:rsidR="001C7F5B" w:rsidRDefault="001C7F5B" w:rsidP="005E77A8">
            <w:pPr>
              <w:rPr>
                <w:lang w:eastAsia="sl-SI"/>
              </w:rPr>
            </w:pPr>
          </w:p>
        </w:tc>
        <w:tc>
          <w:tcPr>
            <w:tcW w:w="2818" w:type="dxa"/>
            <w:tcBorders>
              <w:left w:val="single" w:sz="4" w:space="0" w:color="auto"/>
              <w:right w:val="single" w:sz="4" w:space="0" w:color="auto"/>
            </w:tcBorders>
            <w:shd w:val="clear" w:color="auto" w:fill="E2EFD9" w:themeFill="accent6" w:themeFillTint="33"/>
          </w:tcPr>
          <w:p w:rsidR="001C7F5B" w:rsidRDefault="001C7F5B" w:rsidP="005E77A8">
            <w:pPr>
              <w:rPr>
                <w:lang w:eastAsia="sl-SI"/>
              </w:rPr>
            </w:pPr>
          </w:p>
        </w:tc>
        <w:tc>
          <w:tcPr>
            <w:tcW w:w="3544" w:type="dxa"/>
            <w:tcBorders>
              <w:top w:val="single" w:sz="4" w:space="0" w:color="auto"/>
              <w:left w:val="single" w:sz="4" w:space="0" w:color="auto"/>
              <w:right w:val="single" w:sz="4" w:space="0" w:color="auto"/>
            </w:tcBorders>
          </w:tcPr>
          <w:p w:rsidR="001C7F5B" w:rsidRDefault="001C7F5B" w:rsidP="005E77A8">
            <w:pPr>
              <w:jc w:val="center"/>
              <w:rPr>
                <w:lang w:eastAsia="sl-SI"/>
              </w:rPr>
            </w:pPr>
            <w:r>
              <w:rPr>
                <w:lang w:eastAsia="sl-SI"/>
              </w:rPr>
              <w:t>Podpis:</w:t>
            </w:r>
          </w:p>
        </w:tc>
      </w:tr>
      <w:tr w:rsidR="001C7F5B" w:rsidTr="005E77A8">
        <w:tc>
          <w:tcPr>
            <w:tcW w:w="3131" w:type="dxa"/>
            <w:tcBorders>
              <w:right w:val="single" w:sz="4" w:space="0" w:color="auto"/>
            </w:tcBorders>
          </w:tcPr>
          <w:p w:rsidR="001C7F5B" w:rsidRDefault="001C7F5B" w:rsidP="005E77A8">
            <w:pPr>
              <w:rPr>
                <w:lang w:eastAsia="sl-SI"/>
              </w:rPr>
            </w:pPr>
          </w:p>
        </w:tc>
        <w:tc>
          <w:tcPr>
            <w:tcW w:w="2818" w:type="dxa"/>
            <w:tcBorders>
              <w:left w:val="single" w:sz="4" w:space="0" w:color="auto"/>
              <w:bottom w:val="single" w:sz="4" w:space="0" w:color="auto"/>
              <w:right w:val="single" w:sz="4" w:space="0" w:color="auto"/>
            </w:tcBorders>
            <w:shd w:val="clear" w:color="auto" w:fill="E2EFD9" w:themeFill="accent6" w:themeFillTint="33"/>
          </w:tcPr>
          <w:p w:rsidR="001C7F5B" w:rsidRDefault="001C7F5B" w:rsidP="005E77A8">
            <w:pPr>
              <w:rPr>
                <w:lang w:eastAsia="sl-SI"/>
              </w:rPr>
            </w:pPr>
          </w:p>
        </w:tc>
        <w:tc>
          <w:tcPr>
            <w:tcW w:w="3544" w:type="dxa"/>
            <w:tcBorders>
              <w:left w:val="single" w:sz="4" w:space="0" w:color="auto"/>
              <w:bottom w:val="single" w:sz="4" w:space="0" w:color="auto"/>
              <w:right w:val="single" w:sz="4" w:space="0" w:color="auto"/>
            </w:tcBorders>
            <w:shd w:val="clear" w:color="auto" w:fill="E2EFD9" w:themeFill="accent6" w:themeFillTint="33"/>
          </w:tcPr>
          <w:p w:rsidR="001C7F5B" w:rsidRDefault="001C7F5B" w:rsidP="005E77A8">
            <w:pPr>
              <w:rPr>
                <w:lang w:eastAsia="sl-SI"/>
              </w:rPr>
            </w:pPr>
          </w:p>
          <w:p w:rsidR="001C7F5B" w:rsidRDefault="001C7F5B" w:rsidP="005E77A8">
            <w:pPr>
              <w:rPr>
                <w:lang w:eastAsia="sl-SI"/>
              </w:rPr>
            </w:pPr>
          </w:p>
        </w:tc>
      </w:tr>
    </w:tbl>
    <w:p w:rsidR="00DB1B34" w:rsidRDefault="00DB1B34"/>
    <w:sectPr w:rsidR="00DB1B34" w:rsidSect="00AD5F93">
      <w:headerReference w:type="default" r:id="rId9"/>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19" w:rsidRDefault="00275519" w:rsidP="001C7F5B">
      <w:pPr>
        <w:spacing w:after="0" w:line="240" w:lineRule="auto"/>
      </w:pPr>
      <w:r>
        <w:separator/>
      </w:r>
    </w:p>
  </w:endnote>
  <w:endnote w:type="continuationSeparator" w:id="0">
    <w:p w:rsidR="00275519" w:rsidRDefault="00275519" w:rsidP="001C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19" w:rsidRDefault="00275519" w:rsidP="001C7F5B">
      <w:pPr>
        <w:spacing w:after="0" w:line="240" w:lineRule="auto"/>
      </w:pPr>
      <w:r>
        <w:separator/>
      </w:r>
    </w:p>
  </w:footnote>
  <w:footnote w:type="continuationSeparator" w:id="0">
    <w:p w:rsidR="00275519" w:rsidRDefault="00275519" w:rsidP="001C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5B" w:rsidRDefault="001C7F5B">
    <w:pPr>
      <w:pStyle w:val="Glava"/>
    </w:pPr>
    <w:r>
      <w:rPr>
        <w:noProof/>
        <w:lang w:eastAsia="sl-SI"/>
      </w:rPr>
      <w:drawing>
        <wp:anchor distT="0" distB="0" distL="114300" distR="114300" simplePos="0" relativeHeight="251659264" behindDoc="1" locked="0" layoutInCell="1" allowOverlap="1" wp14:anchorId="2D441043" wp14:editId="2730A86B">
          <wp:simplePos x="0" y="0"/>
          <wp:positionH relativeFrom="column">
            <wp:posOffset>0</wp:posOffset>
          </wp:positionH>
          <wp:positionV relativeFrom="paragraph">
            <wp:posOffset>-192021</wp:posOffset>
          </wp:positionV>
          <wp:extent cx="926916" cy="518197"/>
          <wp:effectExtent l="0" t="0" r="6985"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16" cy="5181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5B"/>
    <w:rsid w:val="001C7F5B"/>
    <w:rsid w:val="00275519"/>
    <w:rsid w:val="00AD5F93"/>
    <w:rsid w:val="00DB1B34"/>
    <w:rsid w:val="00E67E39"/>
    <w:rsid w:val="00FB2E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1F38D-CB67-4274-8C86-F63B0979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7F5B"/>
    <w:pPr>
      <w:spacing w:after="120"/>
      <w:jc w:val="both"/>
    </w:pPr>
  </w:style>
  <w:style w:type="paragraph" w:styleId="Naslov2">
    <w:name w:val="heading 2"/>
    <w:basedOn w:val="Navaden"/>
    <w:next w:val="Navaden"/>
    <w:link w:val="Naslov2Znak"/>
    <w:uiPriority w:val="9"/>
    <w:unhideWhenUsed/>
    <w:qFormat/>
    <w:rsid w:val="001C7F5B"/>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C7F5B"/>
    <w:rPr>
      <w:rFonts w:asciiTheme="majorHAnsi" w:eastAsiaTheme="majorEastAsia" w:hAnsiTheme="majorHAnsi" w:cstheme="majorBidi"/>
      <w:b/>
      <w:color w:val="2F5496" w:themeColor="accent1" w:themeShade="BF"/>
      <w:sz w:val="26"/>
      <w:szCs w:val="26"/>
    </w:rPr>
  </w:style>
  <w:style w:type="character" w:styleId="Hiperpovezava">
    <w:name w:val="Hyperlink"/>
    <w:basedOn w:val="Privzetapisavaodstavka"/>
    <w:uiPriority w:val="99"/>
    <w:unhideWhenUsed/>
    <w:rsid w:val="001C7F5B"/>
    <w:rPr>
      <w:color w:val="0563C1" w:themeColor="hyperlink"/>
      <w:u w:val="single"/>
    </w:rPr>
  </w:style>
  <w:style w:type="table" w:styleId="Tabelamrea">
    <w:name w:val="Table Grid"/>
    <w:basedOn w:val="Navadnatabela"/>
    <w:uiPriority w:val="39"/>
    <w:rsid w:val="001C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C7F5B"/>
    <w:pPr>
      <w:tabs>
        <w:tab w:val="center" w:pos="4536"/>
        <w:tab w:val="right" w:pos="9072"/>
      </w:tabs>
      <w:spacing w:after="0" w:line="240" w:lineRule="auto"/>
    </w:pPr>
  </w:style>
  <w:style w:type="character" w:customStyle="1" w:styleId="GlavaZnak">
    <w:name w:val="Glava Znak"/>
    <w:basedOn w:val="Privzetapisavaodstavka"/>
    <w:link w:val="Glava"/>
    <w:uiPriority w:val="99"/>
    <w:rsid w:val="001C7F5B"/>
  </w:style>
  <w:style w:type="paragraph" w:styleId="Noga">
    <w:name w:val="footer"/>
    <w:basedOn w:val="Navaden"/>
    <w:link w:val="NogaZnak"/>
    <w:uiPriority w:val="99"/>
    <w:unhideWhenUsed/>
    <w:rsid w:val="001C7F5B"/>
    <w:pPr>
      <w:tabs>
        <w:tab w:val="center" w:pos="4536"/>
        <w:tab w:val="right" w:pos="9072"/>
      </w:tabs>
      <w:spacing w:after="0" w:line="240" w:lineRule="auto"/>
    </w:pPr>
  </w:style>
  <w:style w:type="character" w:customStyle="1" w:styleId="NogaZnak">
    <w:name w:val="Noga Znak"/>
    <w:basedOn w:val="Privzetapisavaodstavka"/>
    <w:link w:val="Noga"/>
    <w:uiPriority w:val="99"/>
    <w:rsid w:val="001C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s.si/" TargetMode="External"/><Relationship Id="rId3" Type="http://schemas.openxmlformats.org/officeDocument/2006/relationships/webSettings" Target="webSettings.xml"/><Relationship Id="rId7" Type="http://schemas.openxmlformats.org/officeDocument/2006/relationships/hyperlink" Target="mailto:gp.ip@ip-r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slovenia.in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Pahor-Žvanut</dc:creator>
  <cp:keywords/>
  <dc:description/>
  <cp:lastModifiedBy>Lainšček Adna</cp:lastModifiedBy>
  <cp:revision>2</cp:revision>
  <dcterms:created xsi:type="dcterms:W3CDTF">2019-12-17T12:50:00Z</dcterms:created>
  <dcterms:modified xsi:type="dcterms:W3CDTF">2019-12-17T12:50:00Z</dcterms:modified>
</cp:coreProperties>
</file>